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EF4" w14:textId="71349565" w:rsidR="00EC6C47" w:rsidRDefault="00A218DF" w:rsidP="00A218DF">
      <w:pPr>
        <w:pStyle w:val="Heading1"/>
      </w:pPr>
      <w:r>
        <w:t>Supplementary materials</w:t>
      </w:r>
    </w:p>
    <w:p w14:paraId="54F71659" w14:textId="2D85E2D7" w:rsidR="00F44119" w:rsidRDefault="00A218DF">
      <w:r>
        <w:t xml:space="preserve">A: </w:t>
      </w:r>
      <w:r w:rsidR="00F44119">
        <w:t>Full version of the guideline</w:t>
      </w:r>
    </w:p>
    <w:p w14:paraId="095443E6" w14:textId="44CDEC4D" w:rsidR="00A218DF" w:rsidRDefault="00F44119">
      <w:r>
        <w:t xml:space="preserve">B: </w:t>
      </w:r>
      <w:r w:rsidR="00A218DF">
        <w:t>Glossary</w:t>
      </w:r>
    </w:p>
    <w:p w14:paraId="26DD23AB" w14:textId="31E3A8E6" w:rsidR="00A218DF" w:rsidRDefault="00F44119">
      <w:r>
        <w:t>C</w:t>
      </w:r>
      <w:r w:rsidR="00A218DF">
        <w:t>: Guideline development and conflicts of interest</w:t>
      </w:r>
    </w:p>
    <w:p w14:paraId="774ED8A6" w14:textId="192A5D14" w:rsidR="005D387E" w:rsidRDefault="00F44119" w:rsidP="005D387E">
      <w:r>
        <w:t>D</w:t>
      </w:r>
      <w:r w:rsidR="005D387E">
        <w:t>: Consultation</w:t>
      </w:r>
    </w:p>
    <w:p w14:paraId="635574EF" w14:textId="34B5A5D6" w:rsidR="00A218DF" w:rsidRDefault="00F44119">
      <w:r>
        <w:t>E</w:t>
      </w:r>
      <w:r w:rsidR="00A218DF">
        <w:t xml:space="preserve">: </w:t>
      </w:r>
      <w:r w:rsidR="00A218DF" w:rsidRPr="00A218DF">
        <w:t>Continuing Professional Development</w:t>
      </w:r>
    </w:p>
    <w:p w14:paraId="524E26E4" w14:textId="3D44B79F" w:rsidR="00A218DF" w:rsidRDefault="00F44119">
      <w:r>
        <w:t>F</w:t>
      </w:r>
      <w:r w:rsidR="00A218DF">
        <w:t>: Lay materials</w:t>
      </w:r>
    </w:p>
    <w:p w14:paraId="3170F851" w14:textId="55F3194F" w:rsidR="006F36D6" w:rsidRDefault="006F36D6"/>
    <w:p w14:paraId="445E07A2" w14:textId="2F420617" w:rsidR="00972F9D" w:rsidRDefault="006F36D6" w:rsidP="006F36D6">
      <w:pPr>
        <w:pStyle w:val="Heading2"/>
      </w:pPr>
      <w:r>
        <w:br w:type="page"/>
      </w:r>
      <w:r>
        <w:lastRenderedPageBreak/>
        <w:t xml:space="preserve">A: </w:t>
      </w:r>
      <w:r w:rsidR="00972F9D">
        <w:t>Full version of the guidelines</w:t>
      </w:r>
    </w:p>
    <w:p w14:paraId="17FAE4AA" w14:textId="1C8B62D5" w:rsidR="00560976" w:rsidRDefault="00972F9D">
      <w:r>
        <w:t xml:space="preserve">A full version of the guideline is available </w:t>
      </w:r>
      <w:r w:rsidR="00560976">
        <w:rPr>
          <w:b/>
          <w:bCs/>
        </w:rPr>
        <w:t>below</w:t>
      </w:r>
      <w:r w:rsidR="00560976" w:rsidRPr="00560976">
        <w:t>,</w:t>
      </w:r>
      <w:r>
        <w:t xml:space="preserve"> at HIS website: </w:t>
      </w:r>
      <w:hyperlink r:id="rId7" w:history="1">
        <w:r w:rsidR="00560976" w:rsidRPr="00451A3F">
          <w:rPr>
            <w:rStyle w:val="Hyperlink"/>
          </w:rPr>
          <w:t>https://his.org.uk/resources-guidelines/faecal-microbiota-transplant/</w:t>
        </w:r>
      </w:hyperlink>
      <w:r w:rsidR="00560976">
        <w:t xml:space="preserve"> </w:t>
      </w:r>
      <w:r>
        <w:t>, a</w:t>
      </w:r>
      <w:r w:rsidR="00560976">
        <w:t xml:space="preserve">nd on </w:t>
      </w:r>
      <w:r>
        <w:t xml:space="preserve">BSG </w:t>
      </w:r>
      <w:r w:rsidR="00560976">
        <w:t xml:space="preserve">website </w:t>
      </w:r>
      <w:proofErr w:type="gramStart"/>
      <w:r w:rsidR="00560976" w:rsidRPr="00560976">
        <w:rPr>
          <w:highlight w:val="yellow"/>
        </w:rPr>
        <w:t>TBC</w:t>
      </w:r>
      <w:proofErr w:type="gramEnd"/>
    </w:p>
    <w:p w14:paraId="4CB2FED1" w14:textId="154DAB61" w:rsidR="00972F9D" w:rsidRDefault="00560976">
      <w:pPr>
        <w:rPr>
          <w:rFonts w:asciiTheme="majorHAnsi" w:eastAsiaTheme="majorEastAsia" w:hAnsiTheme="majorHAnsi" w:cstheme="majorBidi"/>
          <w:color w:val="2F5496" w:themeColor="accent1" w:themeShade="BF"/>
          <w:sz w:val="26"/>
          <w:szCs w:val="26"/>
        </w:rPr>
      </w:pPr>
      <w:r>
        <w:object w:dxaOrig="1538" w:dyaOrig="994" w14:anchorId="5FB46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8" o:title=""/>
          </v:shape>
          <o:OLEObject Type="Embed" ProgID="Acrobat.Document.DC" ShapeID="_x0000_i1025" DrawAspect="Icon" ObjectID="_1761553057" r:id="rId9"/>
        </w:object>
      </w:r>
      <w:r w:rsidR="00972F9D">
        <w:br w:type="page"/>
      </w:r>
    </w:p>
    <w:p w14:paraId="25EDC925" w14:textId="0CCF2E8F" w:rsidR="006F36D6" w:rsidRDefault="00972F9D" w:rsidP="006F36D6">
      <w:pPr>
        <w:pStyle w:val="Heading2"/>
      </w:pPr>
      <w:r>
        <w:lastRenderedPageBreak/>
        <w:t xml:space="preserve">B: </w:t>
      </w:r>
      <w:r w:rsidR="006F36D6">
        <w:t>Glossary</w:t>
      </w:r>
    </w:p>
    <w:p w14:paraId="7989552E" w14:textId="6DF5FEEB" w:rsidR="005C7365" w:rsidRDefault="005C7365" w:rsidP="005C7365">
      <w:pPr>
        <w:spacing w:after="0"/>
      </w:pPr>
      <w:r w:rsidRPr="005C7365">
        <w:rPr>
          <w:b/>
          <w:bCs/>
        </w:rPr>
        <w:t>Antisecretory medication:</w:t>
      </w:r>
      <w:r>
        <w:t xml:space="preserve"> a medication that </w:t>
      </w:r>
      <w:r w:rsidRPr="005C7365">
        <w:t>reduces the normal rate of secretion of a body fluid</w:t>
      </w:r>
      <w:r>
        <w:t>. In terms of FMT, this medication</w:t>
      </w:r>
      <w:r w:rsidRPr="005C7365">
        <w:t xml:space="preserve"> reduces </w:t>
      </w:r>
      <w:r>
        <w:t xml:space="preserve">stomach </w:t>
      </w:r>
      <w:r w:rsidRPr="005C7365">
        <w:t>acid secretion</w:t>
      </w:r>
      <w:r>
        <w:t xml:space="preserve"> (e.g. proton pump inhibitory and H</w:t>
      </w:r>
      <w:r w:rsidRPr="005C7365">
        <w:rPr>
          <w:vertAlign w:val="subscript"/>
        </w:rPr>
        <w:t>2</w:t>
      </w:r>
      <w:r>
        <w:t xml:space="preserve">-receptor antagonist medications).  </w:t>
      </w:r>
    </w:p>
    <w:p w14:paraId="59036F2C" w14:textId="0329713B" w:rsidR="005C7365" w:rsidRDefault="005C7365" w:rsidP="005C7365">
      <w:pPr>
        <w:spacing w:after="0"/>
      </w:pPr>
      <w:r w:rsidRPr="00EA613B">
        <w:rPr>
          <w:b/>
          <w:bCs/>
        </w:rPr>
        <w:t>Bookend testing:</w:t>
      </w:r>
      <w:r>
        <w:t xml:space="preserve"> </w:t>
      </w:r>
      <w:r w:rsidR="00EA613B">
        <w:t>A type of</w:t>
      </w:r>
      <w:r w:rsidR="00EA613B" w:rsidRPr="00EA613B">
        <w:t xml:space="preserve"> screening/assessment </w:t>
      </w:r>
      <w:r w:rsidR="00EA613B">
        <w:t>which aims to</w:t>
      </w:r>
      <w:r w:rsidR="00EA613B" w:rsidRPr="00EA613B">
        <w:t xml:space="preserve"> capture changes to donor eligibility, as well as risk factors for pathogen acquisition, in the interval between donor acceptance and donation. Bookend testing should identify asymptomatic pathogen acquisition in the interval between donor acceptance and donation. Depending on donation and screening frequency, this may allow for an exemption from direct testing at, and of, each donation</w:t>
      </w:r>
      <w:r w:rsidR="00EA613B">
        <w:t xml:space="preserve">. </w:t>
      </w:r>
    </w:p>
    <w:p w14:paraId="3B5ED0F5" w14:textId="5098E6CB" w:rsidR="005C7365" w:rsidRPr="005C7365" w:rsidRDefault="005C7365" w:rsidP="005C7365">
      <w:pPr>
        <w:spacing w:after="0"/>
      </w:pPr>
      <w:r w:rsidRPr="005C7365">
        <w:rPr>
          <w:b/>
          <w:bCs/>
        </w:rPr>
        <w:t>Bowel lavage (prep):</w:t>
      </w:r>
      <w:r>
        <w:t xml:space="preserve"> a process which involves an administration of a solution to clean the colon for </w:t>
      </w:r>
      <w:proofErr w:type="spellStart"/>
      <w:r>
        <w:t>colonoscopic</w:t>
      </w:r>
      <w:proofErr w:type="spellEnd"/>
      <w:r>
        <w:t xml:space="preserve"> examination. </w:t>
      </w:r>
    </w:p>
    <w:p w14:paraId="72C4F43C" w14:textId="0007746A" w:rsidR="005C7365" w:rsidRDefault="005C7365" w:rsidP="006F36D6">
      <w:pPr>
        <w:autoSpaceDE w:val="0"/>
        <w:autoSpaceDN w:val="0"/>
        <w:adjustRightInd w:val="0"/>
        <w:spacing w:after="0" w:line="240" w:lineRule="auto"/>
        <w:jc w:val="both"/>
      </w:pPr>
      <w:r w:rsidRPr="005C7365">
        <w:rPr>
          <w:b/>
          <w:bCs/>
          <w:i/>
          <w:iCs/>
        </w:rPr>
        <w:t>Clostridioides difficile</w:t>
      </w:r>
      <w:r>
        <w:t xml:space="preserve"> (commonly known as </w:t>
      </w:r>
      <w:r>
        <w:rPr>
          <w:i/>
          <w:iCs/>
        </w:rPr>
        <w:t>C. diff</w:t>
      </w:r>
      <w:r>
        <w:t xml:space="preserve">): a type of bacterium which causes diarrhoea and inflammation of the colon (known as </w:t>
      </w:r>
      <w:r w:rsidRPr="005C7365">
        <w:rPr>
          <w:i/>
          <w:iCs/>
        </w:rPr>
        <w:t>C. diff</w:t>
      </w:r>
      <w:r>
        <w:t xml:space="preserve"> infection or CDI). </w:t>
      </w:r>
    </w:p>
    <w:p w14:paraId="36B6B2C0" w14:textId="6F77A36E"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Complicated CDI:</w:t>
      </w:r>
      <w:r>
        <w:rPr>
          <w:rFonts w:cstheme="minorHAnsi"/>
          <w:color w:val="000000"/>
          <w:sz w:val="24"/>
          <w:szCs w:val="24"/>
        </w:rPr>
        <w:t xml:space="preserve"> a severe CDI infection characterized by life-threatening features such as shock, sepsis or colon perforation. </w:t>
      </w:r>
    </w:p>
    <w:p w14:paraId="2853B522" w14:textId="1A725FE5"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Engraftment:</w:t>
      </w:r>
      <w:r>
        <w:rPr>
          <w:rFonts w:cstheme="minorHAnsi"/>
          <w:color w:val="000000"/>
          <w:sz w:val="24"/>
          <w:szCs w:val="24"/>
        </w:rPr>
        <w:t xml:space="preserve"> a process in which it is evident that bacteria from the stool donor successfully colonised and populated the colon of the recipient. </w:t>
      </w:r>
    </w:p>
    <w:p w14:paraId="7E17A866" w14:textId="488788E4" w:rsidR="003B02B3"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Faecal microbiota transplant:</w:t>
      </w:r>
      <w:r>
        <w:rPr>
          <w:rFonts w:cstheme="minorHAnsi"/>
          <w:color w:val="000000"/>
          <w:sz w:val="24"/>
          <w:szCs w:val="24"/>
        </w:rPr>
        <w:t xml:space="preserve"> a treatment which </w:t>
      </w:r>
      <w:r w:rsidRPr="005C7365">
        <w:rPr>
          <w:rFonts w:cstheme="minorHAnsi"/>
          <w:color w:val="000000"/>
          <w:sz w:val="24"/>
          <w:szCs w:val="24"/>
        </w:rPr>
        <w:t xml:space="preserve">involves transfer of healthy bacteria from a </w:t>
      </w:r>
      <w:r>
        <w:rPr>
          <w:rFonts w:cstheme="minorHAnsi"/>
          <w:color w:val="000000"/>
          <w:sz w:val="24"/>
          <w:szCs w:val="24"/>
        </w:rPr>
        <w:t xml:space="preserve">stool of a </w:t>
      </w:r>
      <w:r w:rsidRPr="005C7365">
        <w:rPr>
          <w:rFonts w:cstheme="minorHAnsi"/>
          <w:color w:val="000000"/>
          <w:sz w:val="24"/>
          <w:szCs w:val="24"/>
        </w:rPr>
        <w:t xml:space="preserve">healthy </w:t>
      </w:r>
      <w:r>
        <w:rPr>
          <w:rFonts w:cstheme="minorHAnsi"/>
          <w:color w:val="000000"/>
          <w:sz w:val="24"/>
          <w:szCs w:val="24"/>
        </w:rPr>
        <w:t>person</w:t>
      </w:r>
      <w:r w:rsidRPr="005C7365">
        <w:rPr>
          <w:rFonts w:cstheme="minorHAnsi"/>
          <w:color w:val="000000"/>
          <w:sz w:val="24"/>
          <w:szCs w:val="24"/>
        </w:rPr>
        <w:t xml:space="preserve"> to the intestine of the patient.</w:t>
      </w:r>
    </w:p>
    <w:p w14:paraId="4A29F7DB" w14:textId="1C769539"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Fidaxomicin:</w:t>
      </w:r>
      <w:r>
        <w:rPr>
          <w:rFonts w:cstheme="minorHAnsi"/>
          <w:color w:val="000000"/>
          <w:sz w:val="24"/>
          <w:szCs w:val="24"/>
        </w:rPr>
        <w:t xml:space="preserve"> a relatively new class of antibiotics which is specifically used for the treatment of </w:t>
      </w:r>
      <w:r w:rsidRPr="005C7365">
        <w:rPr>
          <w:rFonts w:cstheme="minorHAnsi"/>
          <w:i/>
          <w:iCs/>
          <w:color w:val="000000"/>
          <w:sz w:val="24"/>
          <w:szCs w:val="24"/>
        </w:rPr>
        <w:t>Clostridioides difficile</w:t>
      </w:r>
      <w:r>
        <w:rPr>
          <w:rFonts w:cstheme="minorHAnsi"/>
          <w:color w:val="000000"/>
          <w:sz w:val="24"/>
          <w:szCs w:val="24"/>
        </w:rPr>
        <w:t xml:space="preserve"> infections. </w:t>
      </w:r>
    </w:p>
    <w:p w14:paraId="47F167A7" w14:textId="7F9C653B"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Immunocompetent:</w:t>
      </w:r>
      <w:r>
        <w:rPr>
          <w:rFonts w:cstheme="minorHAnsi"/>
          <w:color w:val="000000"/>
          <w:sz w:val="24"/>
          <w:szCs w:val="24"/>
        </w:rPr>
        <w:t xml:space="preserve"> a person with fully functioning immune system</w:t>
      </w:r>
    </w:p>
    <w:p w14:paraId="70F08399" w14:textId="5AF194C9"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Immunocompromised:</w:t>
      </w:r>
      <w:r>
        <w:rPr>
          <w:rFonts w:cstheme="minorHAnsi"/>
          <w:color w:val="000000"/>
          <w:sz w:val="24"/>
          <w:szCs w:val="24"/>
        </w:rPr>
        <w:t xml:space="preserve"> a person in whom the immune system is not functioning at the optimal level. </w:t>
      </w:r>
    </w:p>
    <w:p w14:paraId="701AD8B5" w14:textId="68A696B2"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Immunosuppressed:</w:t>
      </w:r>
      <w:r>
        <w:rPr>
          <w:rFonts w:cstheme="minorHAnsi"/>
          <w:color w:val="000000"/>
          <w:sz w:val="24"/>
          <w:szCs w:val="24"/>
        </w:rPr>
        <w:t xml:space="preserve"> a person with fully functioning immune system who is undergoing a therapy which slows down the immune system (e.g. post-transplant, autoimmune diseases or cancer chemotherapy). </w:t>
      </w:r>
    </w:p>
    <w:p w14:paraId="765B1C31" w14:textId="171C8E84"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Inflammatory bowel disease:</w:t>
      </w:r>
      <w:r>
        <w:rPr>
          <w:rFonts w:cstheme="minorHAnsi"/>
          <w:color w:val="000000"/>
          <w:sz w:val="24"/>
          <w:szCs w:val="24"/>
        </w:rPr>
        <w:t xml:space="preserve"> a group of disorders which cause a long-term inflammation of the bowel (intestines). IBD term includes ulcerative colitis and Crohn’s disease. </w:t>
      </w:r>
    </w:p>
    <w:p w14:paraId="53EBC92F" w14:textId="0FD62C69"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Lyophilised:</w:t>
      </w:r>
      <w:r>
        <w:rPr>
          <w:rFonts w:cstheme="minorHAnsi"/>
          <w:color w:val="000000"/>
          <w:sz w:val="24"/>
          <w:szCs w:val="24"/>
        </w:rPr>
        <w:t xml:space="preserve"> freeze-dried, a process in which a specimen is </w:t>
      </w:r>
      <w:proofErr w:type="gramStart"/>
      <w:r>
        <w:rPr>
          <w:rFonts w:cstheme="minorHAnsi"/>
          <w:color w:val="000000"/>
          <w:sz w:val="24"/>
          <w:szCs w:val="24"/>
        </w:rPr>
        <w:t>frozen</w:t>
      </w:r>
      <w:proofErr w:type="gramEnd"/>
      <w:r>
        <w:rPr>
          <w:rFonts w:cstheme="minorHAnsi"/>
          <w:color w:val="000000"/>
          <w:sz w:val="24"/>
          <w:szCs w:val="24"/>
        </w:rPr>
        <w:t xml:space="preserve"> and the water is removed. </w:t>
      </w:r>
    </w:p>
    <w:p w14:paraId="65B40113" w14:textId="5C83E23F"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Pseudomembranous colitis:</w:t>
      </w:r>
      <w:r>
        <w:rPr>
          <w:rFonts w:cstheme="minorHAnsi"/>
          <w:color w:val="000000"/>
          <w:sz w:val="24"/>
          <w:szCs w:val="24"/>
        </w:rPr>
        <w:t xml:space="preserve"> a severe colonic infection in which </w:t>
      </w:r>
      <w:r w:rsidRPr="005C7365">
        <w:rPr>
          <w:rFonts w:cstheme="minorHAnsi"/>
          <w:color w:val="000000"/>
          <w:sz w:val="24"/>
          <w:szCs w:val="24"/>
        </w:rPr>
        <w:t xml:space="preserve">plaques </w:t>
      </w:r>
      <w:r>
        <w:rPr>
          <w:rFonts w:cstheme="minorHAnsi"/>
          <w:color w:val="000000"/>
          <w:sz w:val="24"/>
          <w:szCs w:val="24"/>
        </w:rPr>
        <w:t xml:space="preserve">appear in the colon and </w:t>
      </w:r>
      <w:r w:rsidRPr="005C7365">
        <w:rPr>
          <w:rFonts w:cstheme="minorHAnsi"/>
          <w:color w:val="000000"/>
          <w:sz w:val="24"/>
          <w:szCs w:val="24"/>
        </w:rPr>
        <w:t xml:space="preserve">combine to form </w:t>
      </w:r>
      <w:r>
        <w:rPr>
          <w:rFonts w:cstheme="minorHAnsi"/>
          <w:color w:val="000000"/>
          <w:sz w:val="24"/>
          <w:szCs w:val="24"/>
        </w:rPr>
        <w:t xml:space="preserve">a growth known as </w:t>
      </w:r>
      <w:r w:rsidRPr="005C7365">
        <w:rPr>
          <w:rFonts w:cstheme="minorHAnsi"/>
          <w:color w:val="000000"/>
          <w:sz w:val="24"/>
          <w:szCs w:val="24"/>
        </w:rPr>
        <w:t>pseudomembranes</w:t>
      </w:r>
      <w:r>
        <w:rPr>
          <w:rFonts w:cstheme="minorHAnsi"/>
          <w:color w:val="000000"/>
          <w:sz w:val="24"/>
          <w:szCs w:val="24"/>
        </w:rPr>
        <w:t xml:space="preserve">. This form of colitis is usually associated with </w:t>
      </w:r>
      <w:r w:rsidRPr="005C7365">
        <w:rPr>
          <w:rFonts w:cstheme="minorHAnsi"/>
          <w:i/>
          <w:iCs/>
          <w:color w:val="000000"/>
          <w:sz w:val="24"/>
          <w:szCs w:val="24"/>
        </w:rPr>
        <w:t>Clostridioides difficile</w:t>
      </w:r>
      <w:r>
        <w:rPr>
          <w:rFonts w:cstheme="minorHAnsi"/>
          <w:color w:val="000000"/>
          <w:sz w:val="24"/>
          <w:szCs w:val="24"/>
        </w:rPr>
        <w:t xml:space="preserve"> infections. </w:t>
      </w:r>
    </w:p>
    <w:p w14:paraId="3BF0BBED" w14:textId="3E52EB6D"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Recurrent CDI:</w:t>
      </w:r>
      <w:r>
        <w:rPr>
          <w:rFonts w:cstheme="minorHAnsi"/>
          <w:color w:val="000000"/>
          <w:sz w:val="24"/>
          <w:szCs w:val="24"/>
        </w:rPr>
        <w:t xml:space="preserve"> </w:t>
      </w:r>
      <w:r w:rsidRPr="005C7365">
        <w:rPr>
          <w:rFonts w:cstheme="minorHAnsi"/>
          <w:i/>
          <w:iCs/>
          <w:color w:val="000000"/>
          <w:sz w:val="24"/>
          <w:szCs w:val="24"/>
        </w:rPr>
        <w:t>Clostridioides difficile</w:t>
      </w:r>
      <w:r>
        <w:rPr>
          <w:rFonts w:cstheme="minorHAnsi"/>
          <w:color w:val="000000"/>
          <w:sz w:val="24"/>
          <w:szCs w:val="24"/>
        </w:rPr>
        <w:t xml:space="preserve"> infection which initially responded to the antibiotic treatment but which since came back (relapse). Most clinicians consider the infection to be recurrent if it comes back within eight weeks. </w:t>
      </w:r>
    </w:p>
    <w:p w14:paraId="5B6A4055" w14:textId="18860995"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Refractory CDI:</w:t>
      </w:r>
      <w:r>
        <w:rPr>
          <w:rFonts w:cstheme="minorHAnsi"/>
          <w:color w:val="000000"/>
          <w:sz w:val="24"/>
          <w:szCs w:val="24"/>
        </w:rPr>
        <w:t xml:space="preserve"> </w:t>
      </w:r>
      <w:r w:rsidRPr="005C7365">
        <w:rPr>
          <w:rFonts w:cstheme="minorHAnsi"/>
          <w:i/>
          <w:iCs/>
          <w:color w:val="000000"/>
          <w:sz w:val="24"/>
          <w:szCs w:val="24"/>
        </w:rPr>
        <w:t>Clostridioides difficile</w:t>
      </w:r>
      <w:r>
        <w:rPr>
          <w:rFonts w:cstheme="minorHAnsi"/>
          <w:color w:val="000000"/>
          <w:sz w:val="24"/>
          <w:szCs w:val="24"/>
        </w:rPr>
        <w:t xml:space="preserve"> infection which did not respond to the antibiotic treatment. This is usually when symptoms persist, although for some patients infection may be cured while they still experience symptoms. </w:t>
      </w:r>
    </w:p>
    <w:p w14:paraId="0288B984" w14:textId="104C8FAB"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Sediment:</w:t>
      </w:r>
      <w:r>
        <w:rPr>
          <w:rFonts w:cstheme="minorHAnsi"/>
          <w:color w:val="000000"/>
          <w:sz w:val="24"/>
          <w:szCs w:val="24"/>
        </w:rPr>
        <w:t xml:space="preserve"> a portion of the faecal sample which has been centrifuged. After this process, after a short period of time (e.g. 15-30min), contents separate into lighter liquid (see </w:t>
      </w:r>
      <w:r w:rsidRPr="005C7365">
        <w:rPr>
          <w:rFonts w:cstheme="minorHAnsi"/>
          <w:b/>
          <w:bCs/>
          <w:color w:val="000000"/>
          <w:sz w:val="24"/>
          <w:szCs w:val="24"/>
        </w:rPr>
        <w:t>supernatant</w:t>
      </w:r>
      <w:r>
        <w:rPr>
          <w:rFonts w:cstheme="minorHAnsi"/>
          <w:color w:val="000000"/>
          <w:sz w:val="24"/>
          <w:szCs w:val="24"/>
        </w:rPr>
        <w:t xml:space="preserve">) with the heavier, solid portion of the stool (sediment). </w:t>
      </w:r>
    </w:p>
    <w:p w14:paraId="677D29DA" w14:textId="45CB24E0"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Slurry:</w:t>
      </w:r>
      <w:r>
        <w:rPr>
          <w:rFonts w:cstheme="minorHAnsi"/>
          <w:color w:val="000000"/>
          <w:sz w:val="24"/>
          <w:szCs w:val="24"/>
        </w:rPr>
        <w:t xml:space="preserve"> A mixture of solid matter (which in terms of FMT, come from stool) suspended in water. </w:t>
      </w:r>
    </w:p>
    <w:p w14:paraId="473D045C" w14:textId="64304BFD" w:rsidR="005C7365" w:rsidRDefault="005C7365" w:rsidP="006F36D6">
      <w:pPr>
        <w:autoSpaceDE w:val="0"/>
        <w:autoSpaceDN w:val="0"/>
        <w:adjustRightInd w:val="0"/>
        <w:spacing w:after="0" w:line="240" w:lineRule="auto"/>
        <w:jc w:val="both"/>
        <w:rPr>
          <w:rFonts w:cstheme="minorHAnsi"/>
          <w:color w:val="000000"/>
          <w:sz w:val="24"/>
          <w:szCs w:val="24"/>
        </w:rPr>
      </w:pPr>
      <w:r w:rsidRPr="005C7365">
        <w:rPr>
          <w:rFonts w:cstheme="minorHAnsi"/>
          <w:b/>
          <w:bCs/>
          <w:color w:val="000000"/>
          <w:sz w:val="24"/>
          <w:szCs w:val="24"/>
        </w:rPr>
        <w:t>Supernatant:</w:t>
      </w:r>
      <w:r w:rsidRPr="005C7365">
        <w:rPr>
          <w:rFonts w:cstheme="minorHAnsi"/>
          <w:color w:val="000000"/>
          <w:sz w:val="24"/>
          <w:szCs w:val="24"/>
        </w:rPr>
        <w:t xml:space="preserve"> </w:t>
      </w:r>
      <w:r>
        <w:rPr>
          <w:rFonts w:cstheme="minorHAnsi"/>
          <w:color w:val="000000"/>
          <w:sz w:val="24"/>
          <w:szCs w:val="24"/>
        </w:rPr>
        <w:t>a portion of the faecal sample which has been centrifuged. After this process, after a short period of time (e.g. 15-30min), contents separate into lighter liquid (</w:t>
      </w:r>
      <w:r w:rsidRPr="005C7365">
        <w:rPr>
          <w:rFonts w:cstheme="minorHAnsi"/>
          <w:color w:val="000000"/>
          <w:sz w:val="24"/>
          <w:szCs w:val="24"/>
        </w:rPr>
        <w:t>supernatant</w:t>
      </w:r>
      <w:r>
        <w:rPr>
          <w:rFonts w:cstheme="minorHAnsi"/>
          <w:color w:val="000000"/>
          <w:sz w:val="24"/>
          <w:szCs w:val="24"/>
        </w:rPr>
        <w:t>) with the heavier, solid portion of the stool (sediment).</w:t>
      </w:r>
    </w:p>
    <w:p w14:paraId="72EF2220" w14:textId="1107570A" w:rsidR="005C7365" w:rsidRPr="005C7365" w:rsidRDefault="005C7365" w:rsidP="006F36D6">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lastRenderedPageBreak/>
        <w:t xml:space="preserve">Vancomycin: an antibiotic which is used for treating a wide range of bacterial infections. When taken orally, it is not absorbed into the body, therefore it has an opportunity to act on </w:t>
      </w:r>
      <w:r w:rsidRPr="005C7365">
        <w:rPr>
          <w:rFonts w:cstheme="minorHAnsi"/>
          <w:i/>
          <w:iCs/>
          <w:color w:val="000000"/>
          <w:sz w:val="24"/>
          <w:szCs w:val="24"/>
        </w:rPr>
        <w:t>Clostridioides difficile</w:t>
      </w:r>
      <w:r>
        <w:rPr>
          <w:rFonts w:cstheme="minorHAnsi"/>
          <w:i/>
          <w:iCs/>
          <w:color w:val="000000"/>
          <w:sz w:val="24"/>
          <w:szCs w:val="24"/>
        </w:rPr>
        <w:t xml:space="preserve">. </w:t>
      </w:r>
    </w:p>
    <w:p w14:paraId="7796B72C" w14:textId="61A2D740" w:rsidR="00032AF3" w:rsidRDefault="00032AF3">
      <w:pPr>
        <w:rPr>
          <w:rFonts w:asciiTheme="majorHAnsi" w:eastAsiaTheme="majorEastAsia" w:hAnsiTheme="majorHAnsi" w:cstheme="majorBidi"/>
          <w:color w:val="2F5496" w:themeColor="accent1" w:themeShade="BF"/>
          <w:sz w:val="26"/>
          <w:szCs w:val="26"/>
        </w:rPr>
      </w:pPr>
    </w:p>
    <w:p w14:paraId="6B8734F9" w14:textId="77777777" w:rsidR="00C139F8" w:rsidRDefault="00C139F8">
      <w:pPr>
        <w:rPr>
          <w:rFonts w:asciiTheme="majorHAnsi" w:eastAsiaTheme="majorEastAsia" w:hAnsiTheme="majorHAnsi" w:cstheme="majorBidi"/>
          <w:color w:val="2F5496" w:themeColor="accent1" w:themeShade="BF"/>
          <w:sz w:val="26"/>
          <w:szCs w:val="26"/>
        </w:rPr>
      </w:pPr>
      <w:r>
        <w:br w:type="page"/>
      </w:r>
    </w:p>
    <w:p w14:paraId="2E4A5F58" w14:textId="1B3F6EB7" w:rsidR="006F36D6" w:rsidRDefault="00972F9D" w:rsidP="006F36D6">
      <w:pPr>
        <w:pStyle w:val="Heading2"/>
      </w:pPr>
      <w:r>
        <w:lastRenderedPageBreak/>
        <w:t>C</w:t>
      </w:r>
      <w:r w:rsidR="006F36D6">
        <w:t>: Guideline development and conflicts of interest</w:t>
      </w:r>
    </w:p>
    <w:p w14:paraId="18E282C7" w14:textId="77777777" w:rsidR="006F36D6" w:rsidRPr="006F36D6" w:rsidRDefault="006F36D6" w:rsidP="006F36D6"/>
    <w:p w14:paraId="1D9F3000" w14:textId="77777777" w:rsidR="000F42E1" w:rsidRDefault="000F42E1" w:rsidP="000F42E1">
      <w:pPr>
        <w:spacing w:line="360" w:lineRule="auto"/>
        <w:jc w:val="both"/>
        <w:rPr>
          <w:rFonts w:ascii="Calibri" w:hAnsi="Calibri"/>
          <w:i/>
        </w:rPr>
      </w:pPr>
      <w:r>
        <w:rPr>
          <w:rFonts w:ascii="Calibri" w:hAnsi="Calibri"/>
          <w:i/>
        </w:rPr>
        <w:t>Guideline development process</w:t>
      </w:r>
    </w:p>
    <w:p w14:paraId="7F0135FB" w14:textId="6A2BFF34" w:rsidR="000F42E1" w:rsidRDefault="000F42E1" w:rsidP="000F42E1">
      <w:pPr>
        <w:spacing w:line="360" w:lineRule="auto"/>
        <w:rPr>
          <w:rFonts w:ascii="Calibri" w:hAnsi="Calibri" w:cs="Arial"/>
        </w:rPr>
      </w:pPr>
      <w:r>
        <w:rPr>
          <w:rFonts w:ascii="Calibri" w:hAnsi="Calibri" w:cs="Arial"/>
        </w:rPr>
        <w:t xml:space="preserve">National Institute of Health and Care Excellence. </w:t>
      </w:r>
      <w:r w:rsidRPr="000F42E1">
        <w:rPr>
          <w:rFonts w:ascii="Calibri" w:hAnsi="Calibri" w:cs="Arial"/>
        </w:rPr>
        <w:t>Developing NICE guidelines: the manual</w:t>
      </w:r>
      <w:r>
        <w:rPr>
          <w:rFonts w:ascii="Calibri" w:hAnsi="Calibri" w:cs="Arial"/>
        </w:rPr>
        <w:t xml:space="preserve">. </w:t>
      </w:r>
      <w:r w:rsidRPr="000F42E1">
        <w:rPr>
          <w:rFonts w:ascii="Calibri" w:hAnsi="Calibri" w:cs="Arial"/>
        </w:rPr>
        <w:t>Process and methods</w:t>
      </w:r>
      <w:r>
        <w:rPr>
          <w:rFonts w:ascii="Calibri" w:hAnsi="Calibri" w:cs="Arial"/>
        </w:rPr>
        <w:t xml:space="preserve">; 2018. Available at: </w:t>
      </w:r>
      <w:hyperlink r:id="rId10" w:history="1">
        <w:r w:rsidR="00510435" w:rsidRPr="002B24F4">
          <w:rPr>
            <w:rStyle w:val="Hyperlink"/>
          </w:rPr>
          <w:t>https://www.nice.org.uk/process/pmg20/chapter/introduction</w:t>
        </w:r>
      </w:hyperlink>
      <w:r w:rsidR="00510435">
        <w:t xml:space="preserve"> </w:t>
      </w:r>
      <w:r>
        <w:rPr>
          <w:rFonts w:ascii="Calibri" w:hAnsi="Calibri" w:cs="Arial"/>
        </w:rPr>
        <w:t xml:space="preserve"> [last accessed </w:t>
      </w:r>
      <w:r w:rsidR="00510435">
        <w:rPr>
          <w:rFonts w:ascii="Calibri" w:hAnsi="Calibri" w:cs="Arial"/>
        </w:rPr>
        <w:t>October</w:t>
      </w:r>
      <w:r>
        <w:rPr>
          <w:rFonts w:ascii="Calibri" w:hAnsi="Calibri" w:cs="Arial"/>
        </w:rPr>
        <w:t xml:space="preserve"> 202</w:t>
      </w:r>
      <w:r w:rsidR="00510435">
        <w:rPr>
          <w:rFonts w:ascii="Calibri" w:hAnsi="Calibri" w:cs="Arial"/>
        </w:rPr>
        <w:t>3</w:t>
      </w:r>
      <w:r>
        <w:rPr>
          <w:rFonts w:ascii="Calibri" w:hAnsi="Calibri" w:cs="Arial"/>
        </w:rPr>
        <w:t>].</w:t>
      </w:r>
    </w:p>
    <w:p w14:paraId="354032D1" w14:textId="77777777" w:rsidR="000F42E1" w:rsidRDefault="000F42E1" w:rsidP="000F42E1">
      <w:pPr>
        <w:spacing w:line="276" w:lineRule="auto"/>
        <w:jc w:val="both"/>
        <w:rPr>
          <w:rFonts w:cstheme="minorHAnsi"/>
          <w:iCs/>
          <w:color w:val="000000"/>
          <w:spacing w:val="5"/>
          <w:kern w:val="1"/>
          <w:sz w:val="24"/>
          <w:szCs w:val="24"/>
        </w:rPr>
      </w:pPr>
    </w:p>
    <w:p w14:paraId="1D63DC9F" w14:textId="1E2017C5" w:rsidR="000F42E1" w:rsidRPr="000F42E1" w:rsidRDefault="000F42E1" w:rsidP="000F42E1">
      <w:pPr>
        <w:spacing w:line="276" w:lineRule="auto"/>
        <w:jc w:val="both"/>
        <w:rPr>
          <w:rFonts w:cstheme="minorHAnsi"/>
          <w:b/>
          <w:bCs/>
          <w:iCs/>
          <w:color w:val="000000"/>
          <w:spacing w:val="5"/>
          <w:kern w:val="1"/>
          <w:sz w:val="24"/>
          <w:szCs w:val="24"/>
        </w:rPr>
      </w:pPr>
      <w:r w:rsidRPr="000F42E1">
        <w:rPr>
          <w:rFonts w:cstheme="minorHAnsi"/>
          <w:b/>
          <w:bCs/>
          <w:iCs/>
          <w:color w:val="000000"/>
          <w:spacing w:val="5"/>
          <w:kern w:val="1"/>
          <w:sz w:val="24"/>
          <w:szCs w:val="24"/>
        </w:rPr>
        <w:t>The Working party members declared following conflicts of interest:</w:t>
      </w:r>
    </w:p>
    <w:p w14:paraId="1E80FA80" w14:textId="4D55C02F"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BHM</w:t>
      </w:r>
      <w:r w:rsidRPr="00510435">
        <w:rPr>
          <w:rFonts w:cstheme="minorHAnsi"/>
          <w:iCs/>
          <w:color w:val="000000"/>
          <w:spacing w:val="5"/>
          <w:kern w:val="1"/>
          <w:sz w:val="24"/>
          <w:szCs w:val="24"/>
        </w:rPr>
        <w:t xml:space="preserve"> </w:t>
      </w:r>
      <w:r>
        <w:rPr>
          <w:rFonts w:cstheme="minorHAnsi"/>
          <w:iCs/>
          <w:color w:val="000000"/>
          <w:spacing w:val="5"/>
          <w:kern w:val="1"/>
          <w:sz w:val="24"/>
          <w:szCs w:val="24"/>
        </w:rPr>
        <w:t xml:space="preserve">has received consultation honoraria from </w:t>
      </w:r>
      <w:r w:rsidRPr="00510435">
        <w:rPr>
          <w:rFonts w:cstheme="minorHAnsi"/>
          <w:iCs/>
          <w:color w:val="000000"/>
          <w:spacing w:val="5"/>
          <w:kern w:val="1"/>
          <w:sz w:val="24"/>
          <w:szCs w:val="24"/>
        </w:rPr>
        <w:t>Ferring Pharmaceuticals, Finch Therapeutics, Summit Therapeutics</w:t>
      </w:r>
      <w:r>
        <w:rPr>
          <w:rFonts w:cstheme="minorHAnsi"/>
          <w:iCs/>
          <w:color w:val="000000"/>
          <w:spacing w:val="5"/>
          <w:kern w:val="1"/>
          <w:sz w:val="24"/>
          <w:szCs w:val="24"/>
        </w:rPr>
        <w:t xml:space="preserve"> and speaker fees from Yakult. BHM is also a member of editorial board for </w:t>
      </w:r>
      <w:r w:rsidRPr="00510435">
        <w:rPr>
          <w:rFonts w:cstheme="minorHAnsi"/>
          <w:iCs/>
          <w:color w:val="000000"/>
          <w:spacing w:val="5"/>
          <w:kern w:val="1"/>
          <w:sz w:val="24"/>
          <w:szCs w:val="24"/>
        </w:rPr>
        <w:t>Journal of Hospital Infection</w:t>
      </w:r>
      <w:r>
        <w:rPr>
          <w:rFonts w:cstheme="minorHAnsi"/>
          <w:iCs/>
          <w:color w:val="000000"/>
          <w:spacing w:val="5"/>
          <w:kern w:val="1"/>
          <w:sz w:val="24"/>
          <w:szCs w:val="24"/>
        </w:rPr>
        <w:t xml:space="preserve"> and</w:t>
      </w:r>
      <w:r w:rsidRPr="00510435">
        <w:rPr>
          <w:rFonts w:cstheme="minorHAnsi"/>
          <w:iCs/>
          <w:color w:val="000000"/>
          <w:spacing w:val="5"/>
          <w:kern w:val="1"/>
          <w:sz w:val="24"/>
          <w:szCs w:val="24"/>
        </w:rPr>
        <w:t xml:space="preserve"> Infectious Disease Reports</w:t>
      </w:r>
      <w:r>
        <w:rPr>
          <w:rFonts w:cstheme="minorHAnsi"/>
          <w:iCs/>
          <w:color w:val="000000"/>
          <w:spacing w:val="5"/>
          <w:kern w:val="1"/>
          <w:sz w:val="24"/>
          <w:szCs w:val="24"/>
        </w:rPr>
        <w:t xml:space="preserve">. </w:t>
      </w:r>
    </w:p>
    <w:p w14:paraId="679B31DF" w14:textId="4D7D966E"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BM</w:t>
      </w:r>
      <w:r>
        <w:rPr>
          <w:rFonts w:cstheme="minorHAnsi"/>
          <w:iCs/>
          <w:color w:val="000000"/>
          <w:spacing w:val="5"/>
          <w:kern w:val="1"/>
          <w:sz w:val="24"/>
          <w:szCs w:val="24"/>
        </w:rPr>
        <w:t xml:space="preserve"> received speaker fees from New Scientist. </w:t>
      </w:r>
    </w:p>
    <w:p w14:paraId="237D02D9" w14:textId="6600E867"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MNQ</w:t>
      </w:r>
      <w:r w:rsidR="00C81346">
        <w:rPr>
          <w:rFonts w:cstheme="minorHAnsi"/>
          <w:iCs/>
          <w:color w:val="000000"/>
          <w:spacing w:val="5"/>
          <w:kern w:val="1"/>
          <w:sz w:val="24"/>
          <w:szCs w:val="24"/>
        </w:rPr>
        <w:t xml:space="preserve"> </w:t>
      </w:r>
      <w:r w:rsidR="00C81346" w:rsidRPr="00C81346">
        <w:rPr>
          <w:rFonts w:cstheme="minorHAnsi"/>
          <w:iCs/>
          <w:color w:val="000000"/>
          <w:spacing w:val="5"/>
          <w:kern w:val="1"/>
          <w:sz w:val="24"/>
          <w:szCs w:val="24"/>
        </w:rPr>
        <w:t xml:space="preserve">received speaker fees from BMS, </w:t>
      </w:r>
      <w:proofErr w:type="spellStart"/>
      <w:r w:rsidR="00C81346" w:rsidRPr="00C81346">
        <w:rPr>
          <w:rFonts w:cstheme="minorHAnsi"/>
          <w:iCs/>
          <w:color w:val="000000"/>
          <w:spacing w:val="5"/>
          <w:kern w:val="1"/>
          <w:sz w:val="24"/>
          <w:szCs w:val="24"/>
        </w:rPr>
        <w:t>Parapharm</w:t>
      </w:r>
      <w:proofErr w:type="spellEnd"/>
      <w:r w:rsidR="00C81346" w:rsidRPr="00C81346">
        <w:rPr>
          <w:rFonts w:cstheme="minorHAnsi"/>
          <w:iCs/>
          <w:color w:val="000000"/>
          <w:spacing w:val="5"/>
          <w:kern w:val="1"/>
          <w:sz w:val="24"/>
          <w:szCs w:val="24"/>
        </w:rPr>
        <w:t xml:space="preserve">, </w:t>
      </w:r>
      <w:proofErr w:type="spellStart"/>
      <w:r w:rsidR="00C81346" w:rsidRPr="00C81346">
        <w:rPr>
          <w:rFonts w:cstheme="minorHAnsi"/>
          <w:iCs/>
          <w:color w:val="000000"/>
          <w:spacing w:val="5"/>
          <w:kern w:val="1"/>
          <w:sz w:val="24"/>
          <w:szCs w:val="24"/>
        </w:rPr>
        <w:t>Tillots</w:t>
      </w:r>
      <w:proofErr w:type="spellEnd"/>
      <w:r w:rsidR="00C81346" w:rsidRPr="00C81346">
        <w:rPr>
          <w:rFonts w:cstheme="minorHAnsi"/>
          <w:iCs/>
          <w:color w:val="000000"/>
          <w:spacing w:val="5"/>
          <w:kern w:val="1"/>
          <w:sz w:val="24"/>
          <w:szCs w:val="24"/>
        </w:rPr>
        <w:t>, Jannsen and Takeda</w:t>
      </w:r>
      <w:r w:rsidR="00C81346">
        <w:rPr>
          <w:rFonts w:cstheme="minorHAnsi"/>
          <w:iCs/>
          <w:color w:val="000000"/>
          <w:spacing w:val="5"/>
          <w:kern w:val="1"/>
          <w:sz w:val="24"/>
          <w:szCs w:val="24"/>
        </w:rPr>
        <w:t>.</w:t>
      </w:r>
      <w:r w:rsidR="00C81346" w:rsidRPr="00C81346">
        <w:rPr>
          <w:rFonts w:cstheme="minorHAnsi"/>
          <w:iCs/>
          <w:color w:val="000000"/>
          <w:spacing w:val="5"/>
          <w:kern w:val="1"/>
          <w:sz w:val="24"/>
          <w:szCs w:val="24"/>
        </w:rPr>
        <w:t xml:space="preserve"> </w:t>
      </w:r>
    </w:p>
    <w:p w14:paraId="69B13815" w14:textId="20D63D29"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AB</w:t>
      </w:r>
      <w:r>
        <w:rPr>
          <w:rFonts w:cstheme="minorHAnsi"/>
          <w:iCs/>
          <w:color w:val="000000"/>
          <w:spacing w:val="5"/>
          <w:kern w:val="1"/>
          <w:sz w:val="24"/>
          <w:szCs w:val="24"/>
        </w:rPr>
        <w:t xml:space="preserve"> declared no conflicts of interest. </w:t>
      </w:r>
    </w:p>
    <w:p w14:paraId="3D8197CB" w14:textId="08F56854"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CG</w:t>
      </w:r>
      <w:r w:rsidR="00C81346">
        <w:rPr>
          <w:rFonts w:cstheme="minorHAnsi"/>
          <w:iCs/>
          <w:color w:val="000000"/>
          <w:spacing w:val="5"/>
          <w:kern w:val="1"/>
          <w:sz w:val="24"/>
          <w:szCs w:val="24"/>
        </w:rPr>
        <w:t xml:space="preserve"> </w:t>
      </w:r>
      <w:r w:rsidR="005A4509">
        <w:rPr>
          <w:rFonts w:cstheme="minorHAnsi"/>
          <w:iCs/>
          <w:color w:val="000000"/>
          <w:spacing w:val="5"/>
          <w:kern w:val="1"/>
          <w:sz w:val="24"/>
          <w:szCs w:val="24"/>
        </w:rPr>
        <w:t>declared no conflicts of interest.</w:t>
      </w:r>
    </w:p>
    <w:p w14:paraId="42593637" w14:textId="2FDA7510"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DM</w:t>
      </w:r>
      <w:r w:rsidR="00C81346">
        <w:rPr>
          <w:rFonts w:cstheme="minorHAnsi"/>
          <w:iCs/>
          <w:color w:val="000000"/>
          <w:spacing w:val="5"/>
          <w:kern w:val="1"/>
          <w:sz w:val="24"/>
          <w:szCs w:val="24"/>
        </w:rPr>
        <w:t xml:space="preserve"> </w:t>
      </w:r>
      <w:r w:rsidR="00C139F8">
        <w:rPr>
          <w:rFonts w:cstheme="minorHAnsi"/>
          <w:iCs/>
          <w:color w:val="000000"/>
          <w:spacing w:val="5"/>
          <w:kern w:val="1"/>
          <w:sz w:val="24"/>
          <w:szCs w:val="24"/>
        </w:rPr>
        <w:t>declared no conflicts of interest.</w:t>
      </w:r>
    </w:p>
    <w:p w14:paraId="547090B5" w14:textId="5C73E474"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RP</w:t>
      </w:r>
      <w:r w:rsidR="00C81346">
        <w:rPr>
          <w:rFonts w:cstheme="minorHAnsi"/>
          <w:iCs/>
          <w:color w:val="000000"/>
          <w:spacing w:val="5"/>
          <w:kern w:val="1"/>
          <w:sz w:val="24"/>
          <w:szCs w:val="24"/>
        </w:rPr>
        <w:t xml:space="preserve"> </w:t>
      </w:r>
      <w:r w:rsidR="00265DA8">
        <w:rPr>
          <w:rFonts w:cstheme="minorHAnsi"/>
          <w:iCs/>
          <w:color w:val="000000"/>
          <w:spacing w:val="5"/>
          <w:kern w:val="1"/>
          <w:sz w:val="24"/>
          <w:szCs w:val="24"/>
        </w:rPr>
        <w:t>declared no conflicts of interest.</w:t>
      </w:r>
    </w:p>
    <w:p w14:paraId="6116DEA1" w14:textId="6AC9B1D0"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NE</w:t>
      </w:r>
      <w:r>
        <w:rPr>
          <w:rFonts w:cstheme="minorHAnsi"/>
          <w:iCs/>
          <w:color w:val="000000"/>
          <w:spacing w:val="5"/>
          <w:kern w:val="1"/>
          <w:sz w:val="24"/>
          <w:szCs w:val="24"/>
        </w:rPr>
        <w:t xml:space="preserve"> has received speaker fees from a company not related to the topic of this guideline. </w:t>
      </w:r>
    </w:p>
    <w:p w14:paraId="42499DA6" w14:textId="7EC4E9F8"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JS</w:t>
      </w:r>
      <w:r w:rsidR="00C81346">
        <w:rPr>
          <w:rFonts w:cstheme="minorHAnsi"/>
          <w:iCs/>
          <w:color w:val="000000"/>
          <w:spacing w:val="5"/>
          <w:kern w:val="1"/>
          <w:sz w:val="24"/>
          <w:szCs w:val="24"/>
        </w:rPr>
        <w:t xml:space="preserve"> received speaker fees from Takeda, </w:t>
      </w:r>
      <w:r w:rsidR="00C139F8">
        <w:rPr>
          <w:rFonts w:cstheme="minorHAnsi"/>
          <w:iCs/>
          <w:color w:val="000000"/>
          <w:spacing w:val="5"/>
          <w:kern w:val="1"/>
          <w:sz w:val="24"/>
          <w:szCs w:val="24"/>
        </w:rPr>
        <w:t>AbbVie</w:t>
      </w:r>
      <w:r w:rsidR="00C81346">
        <w:rPr>
          <w:rFonts w:cstheme="minorHAnsi"/>
          <w:iCs/>
          <w:color w:val="000000"/>
          <w:spacing w:val="5"/>
          <w:kern w:val="1"/>
          <w:sz w:val="24"/>
          <w:szCs w:val="24"/>
        </w:rPr>
        <w:t xml:space="preserve">, Pfizer and BMS. </w:t>
      </w:r>
    </w:p>
    <w:p w14:paraId="40A23A8C" w14:textId="458C1299"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NS</w:t>
      </w:r>
      <w:r w:rsidR="00C81346">
        <w:rPr>
          <w:rFonts w:cstheme="minorHAnsi"/>
          <w:iCs/>
          <w:color w:val="000000"/>
          <w:spacing w:val="5"/>
          <w:kern w:val="1"/>
          <w:sz w:val="24"/>
          <w:szCs w:val="24"/>
        </w:rPr>
        <w:t xml:space="preserve"> </w:t>
      </w:r>
      <w:r w:rsidR="00C51784">
        <w:rPr>
          <w:rFonts w:cstheme="minorHAnsi"/>
          <w:iCs/>
          <w:color w:val="000000"/>
          <w:spacing w:val="5"/>
          <w:kern w:val="1"/>
          <w:sz w:val="24"/>
          <w:szCs w:val="24"/>
        </w:rPr>
        <w:t>received c</w:t>
      </w:r>
      <w:r w:rsidR="00C51784" w:rsidRPr="00C51784">
        <w:rPr>
          <w:rFonts w:cstheme="minorHAnsi"/>
          <w:iCs/>
          <w:color w:val="000000"/>
          <w:spacing w:val="5"/>
          <w:kern w:val="1"/>
          <w:sz w:val="24"/>
          <w:szCs w:val="24"/>
        </w:rPr>
        <w:t xml:space="preserve">onsultancy </w:t>
      </w:r>
      <w:r w:rsidR="00C51784">
        <w:rPr>
          <w:rFonts w:cstheme="minorHAnsi"/>
          <w:iCs/>
          <w:color w:val="000000"/>
          <w:spacing w:val="5"/>
          <w:kern w:val="1"/>
          <w:sz w:val="24"/>
          <w:szCs w:val="24"/>
        </w:rPr>
        <w:t>f</w:t>
      </w:r>
      <w:r w:rsidR="00C51784" w:rsidRPr="00C51784">
        <w:rPr>
          <w:rFonts w:cstheme="minorHAnsi"/>
          <w:iCs/>
          <w:color w:val="000000"/>
          <w:spacing w:val="5"/>
          <w:kern w:val="1"/>
          <w:sz w:val="24"/>
          <w:szCs w:val="24"/>
        </w:rPr>
        <w:t>ee</w:t>
      </w:r>
      <w:r w:rsidR="00C51784">
        <w:rPr>
          <w:rFonts w:cstheme="minorHAnsi"/>
          <w:iCs/>
          <w:color w:val="000000"/>
          <w:spacing w:val="5"/>
          <w:kern w:val="1"/>
          <w:sz w:val="24"/>
          <w:szCs w:val="24"/>
        </w:rPr>
        <w:t>s</w:t>
      </w:r>
      <w:r w:rsidR="00C51784" w:rsidRPr="00C51784">
        <w:rPr>
          <w:rFonts w:cstheme="minorHAnsi"/>
          <w:iCs/>
          <w:color w:val="000000"/>
          <w:spacing w:val="5"/>
          <w:kern w:val="1"/>
          <w:sz w:val="24"/>
          <w:szCs w:val="24"/>
        </w:rPr>
        <w:t xml:space="preserve"> for </w:t>
      </w:r>
      <w:r w:rsidR="00C51784">
        <w:rPr>
          <w:rFonts w:cstheme="minorHAnsi"/>
          <w:iCs/>
          <w:color w:val="000000"/>
          <w:spacing w:val="5"/>
          <w:kern w:val="1"/>
          <w:sz w:val="24"/>
          <w:szCs w:val="24"/>
        </w:rPr>
        <w:t>a</w:t>
      </w:r>
      <w:r w:rsidR="00C51784" w:rsidRPr="00C51784">
        <w:rPr>
          <w:rFonts w:cstheme="minorHAnsi"/>
          <w:iCs/>
          <w:color w:val="000000"/>
          <w:spacing w:val="5"/>
          <w:kern w:val="1"/>
          <w:sz w:val="24"/>
          <w:szCs w:val="24"/>
        </w:rPr>
        <w:t xml:space="preserve">dvisory </w:t>
      </w:r>
      <w:r w:rsidR="00C51784">
        <w:rPr>
          <w:rFonts w:cstheme="minorHAnsi"/>
          <w:iCs/>
          <w:color w:val="000000"/>
          <w:spacing w:val="5"/>
          <w:kern w:val="1"/>
          <w:sz w:val="24"/>
          <w:szCs w:val="24"/>
        </w:rPr>
        <w:t>b</w:t>
      </w:r>
      <w:r w:rsidR="00C51784" w:rsidRPr="00C51784">
        <w:rPr>
          <w:rFonts w:cstheme="minorHAnsi"/>
          <w:iCs/>
          <w:color w:val="000000"/>
          <w:spacing w:val="5"/>
          <w:kern w:val="1"/>
          <w:sz w:val="24"/>
          <w:szCs w:val="24"/>
        </w:rPr>
        <w:t xml:space="preserve">oard for </w:t>
      </w:r>
      <w:proofErr w:type="spellStart"/>
      <w:proofErr w:type="gramStart"/>
      <w:r w:rsidR="00C51784" w:rsidRPr="00C51784">
        <w:rPr>
          <w:rFonts w:cstheme="minorHAnsi"/>
          <w:iCs/>
          <w:color w:val="000000"/>
          <w:spacing w:val="5"/>
          <w:kern w:val="1"/>
          <w:sz w:val="24"/>
          <w:szCs w:val="24"/>
        </w:rPr>
        <w:t>Pharmacosmos</w:t>
      </w:r>
      <w:proofErr w:type="spellEnd"/>
      <w:proofErr w:type="gramEnd"/>
    </w:p>
    <w:p w14:paraId="009877FA" w14:textId="0807A857" w:rsidR="00510435" w:rsidRDefault="00510435">
      <w:pPr>
        <w:rPr>
          <w:rFonts w:cstheme="minorHAnsi"/>
          <w:iCs/>
          <w:color w:val="000000"/>
          <w:spacing w:val="5"/>
          <w:kern w:val="1"/>
          <w:sz w:val="24"/>
          <w:szCs w:val="24"/>
        </w:rPr>
      </w:pPr>
      <w:proofErr w:type="spellStart"/>
      <w:r w:rsidRPr="00C139F8">
        <w:rPr>
          <w:rFonts w:cstheme="minorHAnsi"/>
          <w:b/>
          <w:bCs/>
          <w:iCs/>
          <w:color w:val="000000"/>
          <w:spacing w:val="5"/>
          <w:kern w:val="1"/>
          <w:sz w:val="24"/>
          <w:szCs w:val="24"/>
        </w:rPr>
        <w:t>BMa</w:t>
      </w:r>
      <w:proofErr w:type="spellEnd"/>
      <w:r w:rsidR="00C81346">
        <w:rPr>
          <w:rFonts w:cstheme="minorHAnsi"/>
          <w:iCs/>
          <w:color w:val="000000"/>
          <w:spacing w:val="5"/>
          <w:kern w:val="1"/>
          <w:sz w:val="24"/>
          <w:szCs w:val="24"/>
        </w:rPr>
        <w:t xml:space="preserve"> </w:t>
      </w:r>
      <w:r w:rsidR="00C51784" w:rsidRPr="00510435">
        <w:rPr>
          <w:rFonts w:cstheme="minorHAnsi"/>
          <w:iCs/>
          <w:color w:val="000000"/>
          <w:spacing w:val="5"/>
          <w:kern w:val="1"/>
          <w:sz w:val="24"/>
          <w:szCs w:val="24"/>
        </w:rPr>
        <w:t>declared no conflicts of interest.</w:t>
      </w:r>
    </w:p>
    <w:p w14:paraId="4285A76F" w14:textId="588AA830"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GK</w:t>
      </w:r>
      <w:r w:rsidR="00C81346">
        <w:rPr>
          <w:rFonts w:cstheme="minorHAnsi"/>
          <w:iCs/>
          <w:color w:val="000000"/>
          <w:spacing w:val="5"/>
          <w:kern w:val="1"/>
          <w:sz w:val="24"/>
          <w:szCs w:val="24"/>
        </w:rPr>
        <w:t xml:space="preserve"> </w:t>
      </w:r>
      <w:r w:rsidR="003E754A">
        <w:rPr>
          <w:rFonts w:cstheme="minorHAnsi"/>
          <w:iCs/>
          <w:color w:val="000000"/>
          <w:spacing w:val="5"/>
          <w:kern w:val="1"/>
          <w:sz w:val="24"/>
          <w:szCs w:val="24"/>
        </w:rPr>
        <w:t>declared no conflicts of interest.</w:t>
      </w:r>
    </w:p>
    <w:p w14:paraId="6B63A3A8" w14:textId="391DD1B6"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SM</w:t>
      </w:r>
      <w:r>
        <w:rPr>
          <w:rFonts w:cstheme="minorHAnsi"/>
          <w:iCs/>
          <w:color w:val="000000"/>
          <w:spacing w:val="5"/>
          <w:kern w:val="1"/>
          <w:sz w:val="24"/>
          <w:szCs w:val="24"/>
        </w:rPr>
        <w:t xml:space="preserve"> </w:t>
      </w:r>
      <w:r w:rsidRPr="00510435">
        <w:rPr>
          <w:rFonts w:cstheme="minorHAnsi"/>
          <w:iCs/>
          <w:color w:val="000000"/>
          <w:spacing w:val="5"/>
          <w:kern w:val="1"/>
          <w:sz w:val="24"/>
          <w:szCs w:val="24"/>
        </w:rPr>
        <w:t>declared no conflicts of interest.</w:t>
      </w:r>
    </w:p>
    <w:p w14:paraId="125B9634" w14:textId="0AB0FD4C" w:rsidR="00510435" w:rsidRDefault="00510435" w:rsidP="00C51784">
      <w:pPr>
        <w:rPr>
          <w:rFonts w:cstheme="minorHAnsi"/>
          <w:iCs/>
          <w:color w:val="000000"/>
          <w:spacing w:val="5"/>
          <w:kern w:val="1"/>
          <w:sz w:val="24"/>
          <w:szCs w:val="24"/>
        </w:rPr>
      </w:pPr>
      <w:r w:rsidRPr="00C139F8">
        <w:rPr>
          <w:rFonts w:cstheme="minorHAnsi"/>
          <w:b/>
          <w:bCs/>
          <w:iCs/>
          <w:color w:val="000000"/>
          <w:spacing w:val="5"/>
          <w:kern w:val="1"/>
          <w:sz w:val="24"/>
          <w:szCs w:val="24"/>
        </w:rPr>
        <w:t>AH</w:t>
      </w:r>
      <w:r w:rsidR="00C81346">
        <w:rPr>
          <w:rFonts w:cstheme="minorHAnsi"/>
          <w:iCs/>
          <w:color w:val="000000"/>
          <w:spacing w:val="5"/>
          <w:kern w:val="1"/>
          <w:sz w:val="24"/>
          <w:szCs w:val="24"/>
        </w:rPr>
        <w:t xml:space="preserve"> </w:t>
      </w:r>
      <w:r w:rsidR="00C51784">
        <w:rPr>
          <w:rFonts w:cstheme="minorHAnsi"/>
          <w:iCs/>
          <w:color w:val="000000"/>
          <w:spacing w:val="5"/>
          <w:kern w:val="1"/>
          <w:sz w:val="24"/>
          <w:szCs w:val="24"/>
        </w:rPr>
        <w:t>received</w:t>
      </w:r>
      <w:r w:rsidR="00C51784" w:rsidRPr="00C51784">
        <w:rPr>
          <w:rFonts w:cstheme="minorHAnsi"/>
          <w:iCs/>
          <w:color w:val="000000"/>
          <w:spacing w:val="5"/>
          <w:kern w:val="1"/>
          <w:sz w:val="24"/>
          <w:szCs w:val="24"/>
        </w:rPr>
        <w:t xml:space="preserve"> </w:t>
      </w:r>
      <w:r w:rsidR="00C51784">
        <w:rPr>
          <w:rFonts w:cstheme="minorHAnsi"/>
          <w:iCs/>
          <w:color w:val="000000"/>
          <w:spacing w:val="5"/>
          <w:kern w:val="1"/>
          <w:sz w:val="24"/>
          <w:szCs w:val="24"/>
        </w:rPr>
        <w:t>fees for</w:t>
      </w:r>
      <w:r w:rsidR="00C51784" w:rsidRPr="00C51784">
        <w:rPr>
          <w:rFonts w:cstheme="minorHAnsi"/>
          <w:iCs/>
          <w:color w:val="000000"/>
          <w:spacing w:val="5"/>
          <w:kern w:val="1"/>
          <w:sz w:val="24"/>
          <w:szCs w:val="24"/>
        </w:rPr>
        <w:t xml:space="preserve"> consultan</w:t>
      </w:r>
      <w:r w:rsidR="00C51784">
        <w:rPr>
          <w:rFonts w:cstheme="minorHAnsi"/>
          <w:iCs/>
          <w:color w:val="000000"/>
          <w:spacing w:val="5"/>
          <w:kern w:val="1"/>
          <w:sz w:val="24"/>
          <w:szCs w:val="24"/>
        </w:rPr>
        <w:t>cy</w:t>
      </w:r>
      <w:r w:rsidR="00C51784" w:rsidRPr="00C51784">
        <w:rPr>
          <w:rFonts w:cstheme="minorHAnsi"/>
          <w:iCs/>
          <w:color w:val="000000"/>
          <w:spacing w:val="5"/>
          <w:kern w:val="1"/>
          <w:sz w:val="24"/>
          <w:szCs w:val="24"/>
        </w:rPr>
        <w:t xml:space="preserve"> </w:t>
      </w:r>
      <w:r w:rsidR="00C51784">
        <w:rPr>
          <w:rFonts w:cstheme="minorHAnsi"/>
          <w:iCs/>
          <w:color w:val="000000"/>
          <w:spacing w:val="5"/>
          <w:kern w:val="1"/>
          <w:sz w:val="24"/>
          <w:szCs w:val="24"/>
        </w:rPr>
        <w:t xml:space="preserve">and speaker </w:t>
      </w:r>
      <w:r w:rsidR="00C51784" w:rsidRPr="00C51784">
        <w:rPr>
          <w:rFonts w:cstheme="minorHAnsi"/>
          <w:iCs/>
          <w:color w:val="000000"/>
          <w:spacing w:val="5"/>
          <w:kern w:val="1"/>
          <w:sz w:val="24"/>
          <w:szCs w:val="24"/>
        </w:rPr>
        <w:t>for AbbVie, Arena,</w:t>
      </w:r>
      <w:r w:rsidR="00C51784">
        <w:rPr>
          <w:rFonts w:cstheme="minorHAnsi"/>
          <w:iCs/>
          <w:color w:val="000000"/>
          <w:spacing w:val="5"/>
          <w:kern w:val="1"/>
          <w:sz w:val="24"/>
          <w:szCs w:val="24"/>
        </w:rPr>
        <w:t xml:space="preserve"> </w:t>
      </w:r>
      <w:r w:rsidR="00C51784" w:rsidRPr="00C51784">
        <w:rPr>
          <w:rFonts w:cstheme="minorHAnsi"/>
          <w:iCs/>
          <w:color w:val="000000"/>
          <w:spacing w:val="5"/>
          <w:kern w:val="1"/>
          <w:sz w:val="24"/>
          <w:szCs w:val="24"/>
        </w:rPr>
        <w:t xml:space="preserve">Atlantic, Bristol-Myers Squibb, Celgene, </w:t>
      </w:r>
      <w:proofErr w:type="spellStart"/>
      <w:r w:rsidR="00C51784" w:rsidRPr="00C51784">
        <w:rPr>
          <w:rFonts w:cstheme="minorHAnsi"/>
          <w:iCs/>
          <w:color w:val="000000"/>
          <w:spacing w:val="5"/>
          <w:kern w:val="1"/>
          <w:sz w:val="24"/>
          <w:szCs w:val="24"/>
        </w:rPr>
        <w:t>Celltrion</w:t>
      </w:r>
      <w:proofErr w:type="spellEnd"/>
      <w:r w:rsidR="00C51784" w:rsidRPr="00C51784">
        <w:rPr>
          <w:rFonts w:cstheme="minorHAnsi"/>
          <w:iCs/>
          <w:color w:val="000000"/>
          <w:spacing w:val="5"/>
          <w:kern w:val="1"/>
          <w:sz w:val="24"/>
          <w:szCs w:val="24"/>
        </w:rPr>
        <w:t xml:space="preserve">, Falk, </w:t>
      </w:r>
      <w:proofErr w:type="spellStart"/>
      <w:r w:rsidR="00C51784" w:rsidRPr="00C51784">
        <w:rPr>
          <w:rFonts w:cstheme="minorHAnsi"/>
          <w:iCs/>
          <w:color w:val="000000"/>
          <w:spacing w:val="5"/>
          <w:kern w:val="1"/>
          <w:sz w:val="24"/>
          <w:szCs w:val="24"/>
        </w:rPr>
        <w:t>Galapogos</w:t>
      </w:r>
      <w:proofErr w:type="spellEnd"/>
      <w:r w:rsidR="00C51784" w:rsidRPr="00C51784">
        <w:rPr>
          <w:rFonts w:cstheme="minorHAnsi"/>
          <w:iCs/>
          <w:color w:val="000000"/>
          <w:spacing w:val="5"/>
          <w:kern w:val="1"/>
          <w:sz w:val="24"/>
          <w:szCs w:val="24"/>
        </w:rPr>
        <w:t>, Lilly, Janssen, MSD, Napp</w:t>
      </w:r>
      <w:r w:rsidR="00C51784">
        <w:rPr>
          <w:rFonts w:cstheme="minorHAnsi"/>
          <w:iCs/>
          <w:color w:val="000000"/>
          <w:spacing w:val="5"/>
          <w:kern w:val="1"/>
          <w:sz w:val="24"/>
          <w:szCs w:val="24"/>
        </w:rPr>
        <w:t xml:space="preserve"> </w:t>
      </w:r>
      <w:r w:rsidR="00C51784" w:rsidRPr="00C51784">
        <w:rPr>
          <w:rFonts w:cstheme="minorHAnsi"/>
          <w:iCs/>
          <w:color w:val="000000"/>
          <w:spacing w:val="5"/>
          <w:kern w:val="1"/>
          <w:sz w:val="24"/>
          <w:szCs w:val="24"/>
        </w:rPr>
        <w:t xml:space="preserve">Pharmaceuticals, Pfizer, </w:t>
      </w:r>
      <w:proofErr w:type="spellStart"/>
      <w:r w:rsidR="00C51784" w:rsidRPr="00C51784">
        <w:rPr>
          <w:rFonts w:cstheme="minorHAnsi"/>
          <w:iCs/>
          <w:color w:val="000000"/>
          <w:spacing w:val="5"/>
          <w:kern w:val="1"/>
          <w:sz w:val="24"/>
          <w:szCs w:val="24"/>
        </w:rPr>
        <w:t>Pharmacosmos</w:t>
      </w:r>
      <w:proofErr w:type="spellEnd"/>
      <w:r w:rsidR="00C51784" w:rsidRPr="00C51784">
        <w:rPr>
          <w:rFonts w:cstheme="minorHAnsi"/>
          <w:iCs/>
          <w:color w:val="000000"/>
          <w:spacing w:val="5"/>
          <w:kern w:val="1"/>
          <w:sz w:val="24"/>
          <w:szCs w:val="24"/>
        </w:rPr>
        <w:t>, Shire and Takeda. She also serves on the Global Steering</w:t>
      </w:r>
      <w:r w:rsidR="00C51784">
        <w:rPr>
          <w:rFonts w:cstheme="minorHAnsi"/>
          <w:iCs/>
          <w:color w:val="000000"/>
          <w:spacing w:val="5"/>
          <w:kern w:val="1"/>
          <w:sz w:val="24"/>
          <w:szCs w:val="24"/>
        </w:rPr>
        <w:t xml:space="preserve"> </w:t>
      </w:r>
      <w:r w:rsidR="00C51784" w:rsidRPr="00C51784">
        <w:rPr>
          <w:rFonts w:cstheme="minorHAnsi"/>
          <w:iCs/>
          <w:color w:val="000000"/>
          <w:spacing w:val="5"/>
          <w:kern w:val="1"/>
          <w:sz w:val="24"/>
          <w:szCs w:val="24"/>
        </w:rPr>
        <w:t>Committee for Genentech</w:t>
      </w:r>
      <w:r w:rsidR="00C51784">
        <w:rPr>
          <w:rFonts w:cstheme="minorHAnsi"/>
          <w:iCs/>
          <w:color w:val="000000"/>
          <w:spacing w:val="5"/>
          <w:kern w:val="1"/>
          <w:sz w:val="24"/>
          <w:szCs w:val="24"/>
        </w:rPr>
        <w:t xml:space="preserve">. </w:t>
      </w:r>
    </w:p>
    <w:p w14:paraId="63F4CE2C" w14:textId="2AAD8C74"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CS</w:t>
      </w:r>
      <w:r w:rsidR="00C81346">
        <w:rPr>
          <w:rFonts w:cstheme="minorHAnsi"/>
          <w:iCs/>
          <w:color w:val="000000"/>
          <w:spacing w:val="5"/>
          <w:kern w:val="1"/>
          <w:sz w:val="24"/>
          <w:szCs w:val="24"/>
        </w:rPr>
        <w:t xml:space="preserve"> </w:t>
      </w:r>
      <w:r w:rsidR="00A8108B">
        <w:rPr>
          <w:rFonts w:cstheme="minorHAnsi"/>
          <w:iCs/>
          <w:color w:val="000000"/>
          <w:spacing w:val="5"/>
          <w:kern w:val="1"/>
          <w:sz w:val="24"/>
          <w:szCs w:val="24"/>
        </w:rPr>
        <w:t>is a Chair for the Healthcare Infection Society.</w:t>
      </w:r>
    </w:p>
    <w:p w14:paraId="0088E00E" w14:textId="08F11544" w:rsidR="00510435" w:rsidRDefault="00510435" w:rsidP="00C27429">
      <w:pPr>
        <w:rPr>
          <w:rFonts w:cstheme="minorHAnsi"/>
          <w:iCs/>
          <w:color w:val="000000"/>
          <w:spacing w:val="5"/>
          <w:kern w:val="1"/>
          <w:sz w:val="24"/>
          <w:szCs w:val="24"/>
        </w:rPr>
      </w:pPr>
      <w:r w:rsidRPr="00C139F8">
        <w:rPr>
          <w:rFonts w:cstheme="minorHAnsi"/>
          <w:b/>
          <w:bCs/>
          <w:iCs/>
          <w:color w:val="000000"/>
          <w:spacing w:val="5"/>
          <w:kern w:val="1"/>
          <w:sz w:val="24"/>
          <w:szCs w:val="24"/>
        </w:rPr>
        <w:t>JK</w:t>
      </w:r>
      <w:r w:rsidR="00C81346">
        <w:rPr>
          <w:rFonts w:cstheme="minorHAnsi"/>
          <w:iCs/>
          <w:color w:val="000000"/>
          <w:spacing w:val="5"/>
          <w:kern w:val="1"/>
          <w:sz w:val="24"/>
          <w:szCs w:val="24"/>
        </w:rPr>
        <w:t xml:space="preserve"> </w:t>
      </w:r>
      <w:r w:rsidR="00C27429">
        <w:rPr>
          <w:rFonts w:cstheme="minorHAnsi"/>
          <w:iCs/>
          <w:color w:val="000000"/>
          <w:spacing w:val="5"/>
          <w:kern w:val="1"/>
          <w:sz w:val="24"/>
          <w:szCs w:val="24"/>
        </w:rPr>
        <w:t xml:space="preserve">received consultancy fees from </w:t>
      </w:r>
      <w:r w:rsidR="00C27429" w:rsidRPr="00C27429">
        <w:rPr>
          <w:rFonts w:cstheme="minorHAnsi"/>
          <w:iCs/>
          <w:color w:val="000000"/>
          <w:spacing w:val="5"/>
          <w:kern w:val="1"/>
          <w:sz w:val="24"/>
          <w:szCs w:val="24"/>
        </w:rPr>
        <w:t>Vedanta Biosciences</w:t>
      </w:r>
      <w:r w:rsidR="00C27429">
        <w:rPr>
          <w:rFonts w:cstheme="minorHAnsi"/>
          <w:iCs/>
          <w:color w:val="000000"/>
          <w:spacing w:val="5"/>
          <w:kern w:val="1"/>
          <w:sz w:val="24"/>
          <w:szCs w:val="24"/>
        </w:rPr>
        <w:t xml:space="preserve"> and </w:t>
      </w:r>
      <w:proofErr w:type="spellStart"/>
      <w:r w:rsidR="00C27429" w:rsidRPr="00C27429">
        <w:rPr>
          <w:rFonts w:cstheme="minorHAnsi"/>
          <w:iCs/>
          <w:color w:val="000000"/>
          <w:spacing w:val="5"/>
          <w:kern w:val="1"/>
          <w:sz w:val="24"/>
          <w:szCs w:val="24"/>
        </w:rPr>
        <w:t>Microviable</w:t>
      </w:r>
      <w:proofErr w:type="spellEnd"/>
      <w:r w:rsidR="00C27429" w:rsidRPr="00C27429">
        <w:rPr>
          <w:rFonts w:cstheme="minorHAnsi"/>
          <w:iCs/>
          <w:color w:val="000000"/>
          <w:spacing w:val="5"/>
          <w:kern w:val="1"/>
          <w:sz w:val="24"/>
          <w:szCs w:val="24"/>
        </w:rPr>
        <w:t xml:space="preserve"> Therapeutics</w:t>
      </w:r>
      <w:r w:rsidR="00C27429">
        <w:rPr>
          <w:rFonts w:cstheme="minorHAnsi"/>
          <w:iCs/>
          <w:color w:val="000000"/>
          <w:spacing w:val="5"/>
          <w:kern w:val="1"/>
          <w:sz w:val="24"/>
          <w:szCs w:val="24"/>
        </w:rPr>
        <w:t xml:space="preserve"> and received a research grant from </w:t>
      </w:r>
      <w:r w:rsidR="00C27429" w:rsidRPr="00C27429">
        <w:rPr>
          <w:rFonts w:cstheme="minorHAnsi"/>
          <w:iCs/>
          <w:color w:val="000000"/>
          <w:spacing w:val="5"/>
          <w:kern w:val="1"/>
          <w:sz w:val="24"/>
          <w:szCs w:val="24"/>
        </w:rPr>
        <w:t>Vedanta Bioscience</w:t>
      </w:r>
      <w:r w:rsidR="00C27429">
        <w:rPr>
          <w:rFonts w:cstheme="minorHAnsi"/>
          <w:iCs/>
          <w:color w:val="000000"/>
          <w:spacing w:val="5"/>
          <w:kern w:val="1"/>
          <w:sz w:val="24"/>
          <w:szCs w:val="24"/>
        </w:rPr>
        <w:t>s. JK is a m</w:t>
      </w:r>
      <w:r w:rsidR="00C27429" w:rsidRPr="00C27429">
        <w:rPr>
          <w:rFonts w:cstheme="minorHAnsi"/>
          <w:iCs/>
          <w:color w:val="000000"/>
          <w:spacing w:val="5"/>
          <w:kern w:val="1"/>
          <w:sz w:val="24"/>
          <w:szCs w:val="24"/>
        </w:rPr>
        <w:t>ember/scientific committee of European Helicobacter Microbiota Study group</w:t>
      </w:r>
      <w:r w:rsidR="00C27429">
        <w:rPr>
          <w:rFonts w:cstheme="minorHAnsi"/>
          <w:iCs/>
          <w:color w:val="000000"/>
          <w:spacing w:val="5"/>
          <w:kern w:val="1"/>
          <w:sz w:val="24"/>
          <w:szCs w:val="24"/>
        </w:rPr>
        <w:t>, m</w:t>
      </w:r>
      <w:r w:rsidR="00C27429" w:rsidRPr="00C27429">
        <w:rPr>
          <w:rFonts w:cstheme="minorHAnsi"/>
          <w:iCs/>
          <w:color w:val="000000"/>
          <w:spacing w:val="5"/>
          <w:kern w:val="1"/>
          <w:sz w:val="24"/>
          <w:szCs w:val="24"/>
        </w:rPr>
        <w:t>ember of the Scientific Advisory Board of “</w:t>
      </w:r>
      <w:proofErr w:type="spellStart"/>
      <w:r w:rsidR="00C27429" w:rsidRPr="00C27429">
        <w:rPr>
          <w:rFonts w:cstheme="minorHAnsi"/>
          <w:iCs/>
          <w:color w:val="000000"/>
          <w:spacing w:val="5"/>
          <w:kern w:val="1"/>
          <w:sz w:val="24"/>
          <w:szCs w:val="24"/>
        </w:rPr>
        <w:t>Microviable</w:t>
      </w:r>
      <w:proofErr w:type="spellEnd"/>
      <w:r w:rsidR="00C27429" w:rsidRPr="00C27429">
        <w:rPr>
          <w:rFonts w:cstheme="minorHAnsi"/>
          <w:iCs/>
          <w:color w:val="000000"/>
          <w:spacing w:val="5"/>
          <w:kern w:val="1"/>
          <w:sz w:val="24"/>
          <w:szCs w:val="24"/>
        </w:rPr>
        <w:t xml:space="preserve"> Therapeutics</w:t>
      </w:r>
      <w:proofErr w:type="gramStart"/>
      <w:r w:rsidR="00C27429" w:rsidRPr="00C27429">
        <w:rPr>
          <w:rFonts w:cstheme="minorHAnsi"/>
          <w:iCs/>
          <w:color w:val="000000"/>
          <w:spacing w:val="5"/>
          <w:kern w:val="1"/>
          <w:sz w:val="24"/>
          <w:szCs w:val="24"/>
        </w:rPr>
        <w:t>”</w:t>
      </w:r>
      <w:r w:rsidR="00C27429">
        <w:rPr>
          <w:rFonts w:cstheme="minorHAnsi"/>
          <w:iCs/>
          <w:color w:val="000000"/>
          <w:spacing w:val="5"/>
          <w:kern w:val="1"/>
          <w:sz w:val="24"/>
          <w:szCs w:val="24"/>
        </w:rPr>
        <w:t>,  a</w:t>
      </w:r>
      <w:proofErr w:type="gramEnd"/>
      <w:r w:rsidR="00C27429">
        <w:rPr>
          <w:rFonts w:cstheme="minorHAnsi"/>
          <w:iCs/>
          <w:color w:val="000000"/>
          <w:spacing w:val="5"/>
          <w:kern w:val="1"/>
          <w:sz w:val="24"/>
          <w:szCs w:val="24"/>
        </w:rPr>
        <w:t xml:space="preserve"> member of a s</w:t>
      </w:r>
      <w:r w:rsidR="00C27429" w:rsidRPr="00C27429">
        <w:rPr>
          <w:rFonts w:cstheme="minorHAnsi"/>
          <w:iCs/>
          <w:color w:val="000000"/>
          <w:spacing w:val="5"/>
          <w:kern w:val="1"/>
          <w:sz w:val="24"/>
          <w:szCs w:val="24"/>
        </w:rPr>
        <w:t xml:space="preserve">teering committee </w:t>
      </w:r>
      <w:r w:rsidR="00C27429" w:rsidRPr="00C27429">
        <w:rPr>
          <w:rFonts w:cstheme="minorHAnsi"/>
          <w:iCs/>
          <w:color w:val="000000"/>
          <w:spacing w:val="5"/>
          <w:kern w:val="1"/>
          <w:sz w:val="24"/>
          <w:szCs w:val="24"/>
        </w:rPr>
        <w:lastRenderedPageBreak/>
        <w:t xml:space="preserve">scientific study VE202 for ulcerative colitis (Vedanta </w:t>
      </w:r>
      <w:proofErr w:type="spellStart"/>
      <w:r w:rsidR="00C27429" w:rsidRPr="00C27429">
        <w:rPr>
          <w:rFonts w:cstheme="minorHAnsi"/>
          <w:iCs/>
          <w:color w:val="000000"/>
          <w:spacing w:val="5"/>
          <w:kern w:val="1"/>
          <w:sz w:val="24"/>
          <w:szCs w:val="24"/>
        </w:rPr>
        <w:t>Bioscienes</w:t>
      </w:r>
      <w:proofErr w:type="spellEnd"/>
      <w:r w:rsidR="00C27429" w:rsidRPr="00C27429">
        <w:rPr>
          <w:rFonts w:cstheme="minorHAnsi"/>
          <w:iCs/>
          <w:color w:val="000000"/>
          <w:spacing w:val="5"/>
          <w:kern w:val="1"/>
          <w:sz w:val="24"/>
          <w:szCs w:val="24"/>
        </w:rPr>
        <w:t>)</w:t>
      </w:r>
      <w:r w:rsidR="00C27429">
        <w:rPr>
          <w:rFonts w:cstheme="minorHAnsi"/>
          <w:iCs/>
          <w:color w:val="000000"/>
          <w:spacing w:val="5"/>
          <w:kern w:val="1"/>
          <w:sz w:val="24"/>
          <w:szCs w:val="24"/>
        </w:rPr>
        <w:t xml:space="preserve"> and a f</w:t>
      </w:r>
      <w:r w:rsidR="00C27429" w:rsidRPr="00C27429">
        <w:rPr>
          <w:rFonts w:cstheme="minorHAnsi"/>
          <w:iCs/>
          <w:color w:val="000000"/>
          <w:spacing w:val="5"/>
          <w:kern w:val="1"/>
          <w:sz w:val="24"/>
          <w:szCs w:val="24"/>
        </w:rPr>
        <w:t xml:space="preserve">ounder and board member Netherlands Donor </w:t>
      </w:r>
      <w:proofErr w:type="spellStart"/>
      <w:r w:rsidR="00C27429" w:rsidRPr="00C27429">
        <w:rPr>
          <w:rFonts w:cstheme="minorHAnsi"/>
          <w:iCs/>
          <w:color w:val="000000"/>
          <w:spacing w:val="5"/>
          <w:kern w:val="1"/>
          <w:sz w:val="24"/>
          <w:szCs w:val="24"/>
        </w:rPr>
        <w:t>Feces</w:t>
      </w:r>
      <w:proofErr w:type="spellEnd"/>
      <w:r w:rsidR="00C27429" w:rsidRPr="00C27429">
        <w:rPr>
          <w:rFonts w:cstheme="minorHAnsi"/>
          <w:iCs/>
          <w:color w:val="000000"/>
          <w:spacing w:val="5"/>
          <w:kern w:val="1"/>
          <w:sz w:val="24"/>
          <w:szCs w:val="24"/>
        </w:rPr>
        <w:t xml:space="preserve"> Bank (academic, non-profit)</w:t>
      </w:r>
    </w:p>
    <w:p w14:paraId="6EC21199" w14:textId="05FB5C65"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PH</w:t>
      </w:r>
      <w:r w:rsidR="00C81346">
        <w:rPr>
          <w:rFonts w:cstheme="minorHAnsi"/>
          <w:iCs/>
          <w:color w:val="000000"/>
          <w:spacing w:val="5"/>
          <w:kern w:val="1"/>
          <w:sz w:val="24"/>
          <w:szCs w:val="24"/>
        </w:rPr>
        <w:t xml:space="preserve"> </w:t>
      </w:r>
      <w:r w:rsidR="003F5473">
        <w:rPr>
          <w:rFonts w:cstheme="minorHAnsi"/>
          <w:iCs/>
          <w:color w:val="000000"/>
          <w:spacing w:val="5"/>
          <w:kern w:val="1"/>
          <w:sz w:val="24"/>
          <w:szCs w:val="24"/>
        </w:rPr>
        <w:t>Received consultanc</w:t>
      </w:r>
      <w:r w:rsidR="00C27429">
        <w:rPr>
          <w:rFonts w:cstheme="minorHAnsi"/>
          <w:iCs/>
          <w:color w:val="000000"/>
          <w:spacing w:val="5"/>
          <w:kern w:val="1"/>
          <w:sz w:val="24"/>
          <w:szCs w:val="24"/>
        </w:rPr>
        <w:t>y</w:t>
      </w:r>
      <w:r w:rsidR="003F5473">
        <w:rPr>
          <w:rFonts w:cstheme="minorHAnsi"/>
          <w:iCs/>
          <w:color w:val="000000"/>
          <w:spacing w:val="5"/>
          <w:kern w:val="1"/>
          <w:sz w:val="24"/>
          <w:szCs w:val="24"/>
        </w:rPr>
        <w:t xml:space="preserve"> and speaker fees from commercial companies and is a </w:t>
      </w:r>
      <w:r w:rsidR="003F5473" w:rsidRPr="003F5473">
        <w:rPr>
          <w:rFonts w:cstheme="minorHAnsi"/>
          <w:iCs/>
          <w:color w:val="000000"/>
          <w:spacing w:val="5"/>
          <w:kern w:val="1"/>
          <w:sz w:val="24"/>
          <w:szCs w:val="24"/>
        </w:rPr>
        <w:t xml:space="preserve">Director </w:t>
      </w:r>
      <w:proofErr w:type="spellStart"/>
      <w:r w:rsidR="003F5473" w:rsidRPr="003F5473">
        <w:rPr>
          <w:rFonts w:cstheme="minorHAnsi"/>
          <w:iCs/>
          <w:color w:val="000000"/>
          <w:spacing w:val="5"/>
          <w:kern w:val="1"/>
          <w:sz w:val="24"/>
          <w:szCs w:val="24"/>
        </w:rPr>
        <w:t>Modusmedica</w:t>
      </w:r>
      <w:proofErr w:type="spellEnd"/>
      <w:r w:rsidR="003F5473" w:rsidRPr="003F5473">
        <w:rPr>
          <w:rFonts w:cstheme="minorHAnsi"/>
          <w:iCs/>
          <w:color w:val="000000"/>
          <w:spacing w:val="5"/>
          <w:kern w:val="1"/>
          <w:sz w:val="24"/>
          <w:szCs w:val="24"/>
        </w:rPr>
        <w:t xml:space="preserve"> Ltd </w:t>
      </w:r>
      <w:r w:rsidR="003F5473">
        <w:rPr>
          <w:rFonts w:cstheme="minorHAnsi"/>
          <w:iCs/>
          <w:color w:val="000000"/>
          <w:spacing w:val="5"/>
          <w:kern w:val="1"/>
          <w:sz w:val="24"/>
          <w:szCs w:val="24"/>
        </w:rPr>
        <w:t>(since</w:t>
      </w:r>
      <w:r w:rsidR="003F5473" w:rsidRPr="003F5473">
        <w:rPr>
          <w:rFonts w:cstheme="minorHAnsi"/>
          <w:iCs/>
          <w:color w:val="000000"/>
          <w:spacing w:val="5"/>
          <w:kern w:val="1"/>
          <w:sz w:val="24"/>
          <w:szCs w:val="24"/>
        </w:rPr>
        <w:t xml:space="preserve"> 2010 onwards</w:t>
      </w:r>
      <w:r w:rsidR="003F5473">
        <w:rPr>
          <w:rFonts w:cstheme="minorHAnsi"/>
          <w:iCs/>
          <w:color w:val="000000"/>
          <w:spacing w:val="5"/>
          <w:kern w:val="1"/>
          <w:sz w:val="24"/>
          <w:szCs w:val="24"/>
        </w:rPr>
        <w:t>)</w:t>
      </w:r>
    </w:p>
    <w:p w14:paraId="7BA814A1" w14:textId="49216B21" w:rsidR="00510435" w:rsidRDefault="00510435" w:rsidP="003F5473">
      <w:pPr>
        <w:rPr>
          <w:rFonts w:cstheme="minorHAnsi"/>
          <w:iCs/>
          <w:color w:val="000000"/>
          <w:spacing w:val="5"/>
          <w:kern w:val="1"/>
          <w:sz w:val="24"/>
          <w:szCs w:val="24"/>
        </w:rPr>
      </w:pPr>
      <w:r w:rsidRPr="00C139F8">
        <w:rPr>
          <w:rFonts w:cstheme="minorHAnsi"/>
          <w:b/>
          <w:bCs/>
          <w:iCs/>
          <w:color w:val="000000"/>
          <w:spacing w:val="5"/>
          <w:kern w:val="1"/>
          <w:sz w:val="24"/>
          <w:szCs w:val="24"/>
        </w:rPr>
        <w:t>TI</w:t>
      </w:r>
      <w:r w:rsidR="00C81346">
        <w:rPr>
          <w:rFonts w:cstheme="minorHAnsi"/>
          <w:iCs/>
          <w:color w:val="000000"/>
          <w:spacing w:val="5"/>
          <w:kern w:val="1"/>
          <w:sz w:val="24"/>
          <w:szCs w:val="24"/>
        </w:rPr>
        <w:t xml:space="preserve"> </w:t>
      </w:r>
      <w:r w:rsidR="00C51784">
        <w:rPr>
          <w:rFonts w:cstheme="minorHAnsi"/>
          <w:iCs/>
          <w:color w:val="000000"/>
          <w:spacing w:val="5"/>
          <w:kern w:val="1"/>
          <w:sz w:val="24"/>
          <w:szCs w:val="24"/>
        </w:rPr>
        <w:t>received consultancy fees from Ferring</w:t>
      </w:r>
      <w:r w:rsidR="003F5473">
        <w:rPr>
          <w:rFonts w:cstheme="minorHAnsi"/>
          <w:iCs/>
          <w:color w:val="000000"/>
          <w:spacing w:val="5"/>
          <w:kern w:val="1"/>
          <w:sz w:val="24"/>
          <w:szCs w:val="24"/>
        </w:rPr>
        <w:t xml:space="preserve"> and speaker fees from Pharma cosmos</w:t>
      </w:r>
      <w:r w:rsidR="00C51784">
        <w:rPr>
          <w:rFonts w:cstheme="minorHAnsi"/>
          <w:iCs/>
          <w:color w:val="000000"/>
          <w:spacing w:val="5"/>
          <w:kern w:val="1"/>
          <w:sz w:val="24"/>
          <w:szCs w:val="24"/>
        </w:rPr>
        <w:t xml:space="preserve">. </w:t>
      </w:r>
      <w:r w:rsidR="003F5473">
        <w:rPr>
          <w:rFonts w:cstheme="minorHAnsi"/>
          <w:iCs/>
          <w:color w:val="000000"/>
          <w:spacing w:val="5"/>
          <w:kern w:val="1"/>
          <w:sz w:val="24"/>
          <w:szCs w:val="24"/>
        </w:rPr>
        <w:t>TI is a m</w:t>
      </w:r>
      <w:r w:rsidR="003F5473" w:rsidRPr="003F5473">
        <w:rPr>
          <w:rFonts w:cstheme="minorHAnsi"/>
          <w:iCs/>
          <w:color w:val="000000"/>
          <w:spacing w:val="5"/>
          <w:kern w:val="1"/>
          <w:sz w:val="24"/>
          <w:szCs w:val="24"/>
        </w:rPr>
        <w:t>ember BSG/HIS microbiome for health expert panel</w:t>
      </w:r>
      <w:r w:rsidR="003F5473">
        <w:rPr>
          <w:rFonts w:cstheme="minorHAnsi"/>
          <w:iCs/>
          <w:color w:val="000000"/>
          <w:spacing w:val="5"/>
          <w:kern w:val="1"/>
          <w:sz w:val="24"/>
          <w:szCs w:val="24"/>
        </w:rPr>
        <w:t xml:space="preserve"> and a</w:t>
      </w:r>
      <w:r w:rsidR="003F5473" w:rsidRPr="003F5473">
        <w:rPr>
          <w:rFonts w:cstheme="minorHAnsi"/>
          <w:iCs/>
          <w:color w:val="000000"/>
          <w:spacing w:val="5"/>
          <w:kern w:val="1"/>
          <w:sz w:val="24"/>
          <w:szCs w:val="24"/>
        </w:rPr>
        <w:t xml:space="preserve"> </w:t>
      </w:r>
      <w:r w:rsidR="003F5473">
        <w:rPr>
          <w:rFonts w:cstheme="minorHAnsi"/>
          <w:iCs/>
          <w:color w:val="000000"/>
          <w:spacing w:val="5"/>
          <w:kern w:val="1"/>
          <w:sz w:val="24"/>
          <w:szCs w:val="24"/>
        </w:rPr>
        <w:t>D</w:t>
      </w:r>
      <w:r w:rsidR="003F5473" w:rsidRPr="003F5473">
        <w:rPr>
          <w:rFonts w:cstheme="minorHAnsi"/>
          <w:iCs/>
          <w:color w:val="000000"/>
          <w:spacing w:val="5"/>
          <w:kern w:val="1"/>
          <w:sz w:val="24"/>
          <w:szCs w:val="24"/>
        </w:rPr>
        <w:t xml:space="preserve">irector </w:t>
      </w:r>
      <w:r w:rsidR="003F5473">
        <w:rPr>
          <w:rFonts w:cstheme="minorHAnsi"/>
          <w:iCs/>
          <w:color w:val="000000"/>
          <w:spacing w:val="5"/>
          <w:kern w:val="1"/>
          <w:sz w:val="24"/>
          <w:szCs w:val="24"/>
        </w:rPr>
        <w:t xml:space="preserve">of </w:t>
      </w:r>
      <w:r w:rsidR="003F5473" w:rsidRPr="003F5473">
        <w:rPr>
          <w:rFonts w:cstheme="minorHAnsi"/>
          <w:iCs/>
          <w:color w:val="000000"/>
          <w:spacing w:val="5"/>
          <w:kern w:val="1"/>
          <w:sz w:val="24"/>
          <w:szCs w:val="24"/>
        </w:rPr>
        <w:t>University of Birmingham</w:t>
      </w:r>
      <w:r w:rsidR="003F5473">
        <w:rPr>
          <w:rFonts w:cstheme="minorHAnsi"/>
          <w:iCs/>
          <w:color w:val="000000"/>
          <w:spacing w:val="5"/>
          <w:kern w:val="1"/>
          <w:sz w:val="24"/>
          <w:szCs w:val="24"/>
        </w:rPr>
        <w:t xml:space="preserve"> </w:t>
      </w:r>
      <w:r w:rsidR="003F5473" w:rsidRPr="003F5473">
        <w:rPr>
          <w:rFonts w:cstheme="minorHAnsi"/>
          <w:iCs/>
          <w:color w:val="000000"/>
          <w:spacing w:val="5"/>
          <w:kern w:val="1"/>
          <w:sz w:val="24"/>
          <w:szCs w:val="24"/>
        </w:rPr>
        <w:t>Microbiome Treatment Centre</w:t>
      </w:r>
    </w:p>
    <w:p w14:paraId="292AE83E" w14:textId="569B34A4" w:rsid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SG</w:t>
      </w:r>
      <w:r>
        <w:rPr>
          <w:rFonts w:cstheme="minorHAnsi"/>
          <w:iCs/>
          <w:color w:val="000000"/>
          <w:spacing w:val="5"/>
          <w:kern w:val="1"/>
          <w:sz w:val="24"/>
          <w:szCs w:val="24"/>
        </w:rPr>
        <w:t xml:space="preserve"> received consultancy honoraria from </w:t>
      </w:r>
      <w:proofErr w:type="spellStart"/>
      <w:r>
        <w:rPr>
          <w:rFonts w:cstheme="minorHAnsi"/>
          <w:iCs/>
          <w:color w:val="000000"/>
          <w:spacing w:val="5"/>
          <w:kern w:val="1"/>
          <w:sz w:val="24"/>
          <w:szCs w:val="24"/>
        </w:rPr>
        <w:t>Enterobiotix</w:t>
      </w:r>
      <w:proofErr w:type="spellEnd"/>
      <w:r>
        <w:rPr>
          <w:rFonts w:cstheme="minorHAnsi"/>
          <w:iCs/>
          <w:color w:val="000000"/>
          <w:spacing w:val="5"/>
          <w:kern w:val="1"/>
          <w:sz w:val="24"/>
          <w:szCs w:val="24"/>
        </w:rPr>
        <w:t xml:space="preserve"> and Astra Zeneca, received speaker fees from </w:t>
      </w:r>
      <w:proofErr w:type="spellStart"/>
      <w:r>
        <w:rPr>
          <w:rFonts w:cstheme="minorHAnsi"/>
          <w:iCs/>
          <w:color w:val="000000"/>
          <w:spacing w:val="5"/>
          <w:kern w:val="1"/>
          <w:sz w:val="24"/>
          <w:szCs w:val="24"/>
        </w:rPr>
        <w:t>Tillotts</w:t>
      </w:r>
      <w:proofErr w:type="spellEnd"/>
      <w:r>
        <w:rPr>
          <w:rFonts w:cstheme="minorHAnsi"/>
          <w:iCs/>
          <w:color w:val="000000"/>
          <w:spacing w:val="5"/>
          <w:kern w:val="1"/>
          <w:sz w:val="24"/>
          <w:szCs w:val="24"/>
        </w:rPr>
        <w:t xml:space="preserve"> and has investments in biomedical company not related to the topic of this guideline. </w:t>
      </w:r>
    </w:p>
    <w:p w14:paraId="67A92C76" w14:textId="397F1462" w:rsidR="006F36D6" w:rsidRPr="00510435" w:rsidRDefault="00510435">
      <w:pPr>
        <w:rPr>
          <w:rFonts w:cstheme="minorHAnsi"/>
          <w:iCs/>
          <w:color w:val="000000"/>
          <w:spacing w:val="5"/>
          <w:kern w:val="1"/>
          <w:sz w:val="24"/>
          <w:szCs w:val="24"/>
        </w:rPr>
      </w:pPr>
      <w:r w:rsidRPr="00C139F8">
        <w:rPr>
          <w:rFonts w:cstheme="minorHAnsi"/>
          <w:b/>
          <w:bCs/>
          <w:iCs/>
          <w:color w:val="000000"/>
          <w:spacing w:val="5"/>
          <w:kern w:val="1"/>
          <w:sz w:val="24"/>
          <w:szCs w:val="24"/>
        </w:rPr>
        <w:t>HW</w:t>
      </w:r>
      <w:r>
        <w:rPr>
          <w:rFonts w:cstheme="minorHAnsi"/>
          <w:iCs/>
          <w:color w:val="000000"/>
          <w:spacing w:val="5"/>
          <w:kern w:val="1"/>
          <w:sz w:val="24"/>
          <w:szCs w:val="24"/>
        </w:rPr>
        <w:t xml:space="preserve"> declared no conflicts of interest. </w:t>
      </w:r>
      <w:r w:rsidR="006F36D6">
        <w:br w:type="page"/>
      </w:r>
    </w:p>
    <w:p w14:paraId="30656FCB" w14:textId="77777777" w:rsidR="00B049CE" w:rsidRDefault="00B049CE" w:rsidP="005D387E">
      <w:pPr>
        <w:pStyle w:val="Heading2"/>
        <w:sectPr w:rsidR="00B049CE">
          <w:headerReference w:type="default" r:id="rId11"/>
          <w:footerReference w:type="default" r:id="rId12"/>
          <w:pgSz w:w="11906" w:h="16838"/>
          <w:pgMar w:top="1440" w:right="1440" w:bottom="1440" w:left="1440" w:header="708" w:footer="708" w:gutter="0"/>
          <w:cols w:space="708"/>
          <w:docGrid w:linePitch="360"/>
        </w:sectPr>
      </w:pPr>
    </w:p>
    <w:p w14:paraId="476CC9FF" w14:textId="10DFF0D9" w:rsidR="005D387E" w:rsidRDefault="00972F9D" w:rsidP="005D387E">
      <w:pPr>
        <w:pStyle w:val="Heading2"/>
      </w:pPr>
      <w:r>
        <w:lastRenderedPageBreak/>
        <w:t>D</w:t>
      </w:r>
      <w:r w:rsidR="005D387E">
        <w:t>: Consultation</w:t>
      </w:r>
    </w:p>
    <w:p w14:paraId="6AE9715D" w14:textId="5021D256" w:rsidR="005D387E" w:rsidRDefault="00B049CE" w:rsidP="00B049CE">
      <w:pPr>
        <w:pStyle w:val="Heading3"/>
      </w:pPr>
      <w:r>
        <w:t>Internal consultation</w:t>
      </w:r>
    </w:p>
    <w:tbl>
      <w:tblPr>
        <w:tblW w:w="14678" w:type="dxa"/>
        <w:tblInd w:w="-7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93"/>
        <w:gridCol w:w="7229"/>
        <w:gridCol w:w="6456"/>
      </w:tblGrid>
      <w:tr w:rsidR="00B049CE" w:rsidRPr="00B049CE" w14:paraId="09A4F2F5" w14:textId="77777777" w:rsidTr="0062615B">
        <w:trPr>
          <w:trHeight w:val="705"/>
          <w:tblHeader/>
        </w:trPr>
        <w:tc>
          <w:tcPr>
            <w:tcW w:w="993" w:type="dxa"/>
            <w:shd w:val="clear" w:color="auto" w:fill="E6E6E6"/>
            <w:vAlign w:val="center"/>
          </w:tcPr>
          <w:p w14:paraId="56BD779A" w14:textId="77777777" w:rsidR="00B049CE" w:rsidRPr="00B049CE" w:rsidRDefault="00B049CE" w:rsidP="00B049CE">
            <w:pPr>
              <w:spacing w:after="0" w:line="240" w:lineRule="auto"/>
              <w:jc w:val="center"/>
              <w:rPr>
                <w:rFonts w:eastAsia="Times New Roman" w:cstheme="minorHAnsi"/>
                <w:b/>
                <w:sz w:val="24"/>
                <w:szCs w:val="24"/>
              </w:rPr>
            </w:pPr>
            <w:r w:rsidRPr="00B049CE">
              <w:rPr>
                <w:rFonts w:eastAsia="Times New Roman" w:cstheme="minorHAnsi"/>
                <w:b/>
                <w:bCs/>
                <w:sz w:val="24"/>
                <w:szCs w:val="24"/>
              </w:rPr>
              <w:t xml:space="preserve">Section </w:t>
            </w:r>
          </w:p>
        </w:tc>
        <w:tc>
          <w:tcPr>
            <w:tcW w:w="7229" w:type="dxa"/>
            <w:shd w:val="clear" w:color="auto" w:fill="E6E6E6"/>
            <w:vAlign w:val="center"/>
          </w:tcPr>
          <w:p w14:paraId="3DA241F6" w14:textId="77777777" w:rsidR="00B049CE" w:rsidRPr="00B049CE" w:rsidRDefault="00B049CE" w:rsidP="00B049CE">
            <w:pPr>
              <w:keepNext/>
              <w:spacing w:before="240" w:after="120" w:line="360" w:lineRule="auto"/>
              <w:jc w:val="center"/>
              <w:outlineLvl w:val="0"/>
              <w:rPr>
                <w:rFonts w:eastAsia="Times New Roman" w:cstheme="minorHAnsi"/>
                <w:b/>
                <w:bCs/>
                <w:kern w:val="32"/>
                <w:sz w:val="24"/>
                <w:szCs w:val="24"/>
              </w:rPr>
            </w:pPr>
            <w:r w:rsidRPr="00B049CE">
              <w:rPr>
                <w:rFonts w:eastAsia="Times New Roman" w:cstheme="minorHAnsi"/>
                <w:b/>
                <w:bCs/>
                <w:kern w:val="32"/>
                <w:sz w:val="24"/>
                <w:szCs w:val="24"/>
              </w:rPr>
              <w:t>Comments</w:t>
            </w:r>
          </w:p>
        </w:tc>
        <w:tc>
          <w:tcPr>
            <w:tcW w:w="6456" w:type="dxa"/>
            <w:shd w:val="clear" w:color="auto" w:fill="E6E6E6"/>
          </w:tcPr>
          <w:p w14:paraId="14C94D3E" w14:textId="77777777" w:rsidR="00B049CE" w:rsidRPr="00B049CE" w:rsidRDefault="00B049CE" w:rsidP="00B049CE">
            <w:pPr>
              <w:keepNext/>
              <w:spacing w:before="240" w:after="120" w:line="360" w:lineRule="auto"/>
              <w:jc w:val="center"/>
              <w:outlineLvl w:val="0"/>
              <w:rPr>
                <w:rFonts w:eastAsia="Times New Roman" w:cstheme="minorHAnsi"/>
                <w:b/>
                <w:bCs/>
                <w:kern w:val="32"/>
                <w:sz w:val="24"/>
                <w:szCs w:val="24"/>
              </w:rPr>
            </w:pPr>
            <w:r w:rsidRPr="00B049CE">
              <w:rPr>
                <w:rFonts w:eastAsia="Times New Roman" w:cstheme="minorHAnsi"/>
                <w:b/>
                <w:bCs/>
                <w:kern w:val="32"/>
                <w:sz w:val="24"/>
                <w:szCs w:val="24"/>
              </w:rPr>
              <w:t>Working Party response</w:t>
            </w:r>
          </w:p>
        </w:tc>
      </w:tr>
      <w:tr w:rsidR="00B049CE" w:rsidRPr="00B049CE" w14:paraId="38DB25C7" w14:textId="77777777" w:rsidTr="0062615B">
        <w:tc>
          <w:tcPr>
            <w:tcW w:w="14678" w:type="dxa"/>
            <w:gridSpan w:val="3"/>
            <w:shd w:val="clear" w:color="auto" w:fill="BFBFBF" w:themeFill="background1" w:themeFillShade="BF"/>
            <w:tcMar>
              <w:left w:w="57" w:type="dxa"/>
              <w:right w:w="57" w:type="dxa"/>
            </w:tcMar>
          </w:tcPr>
          <w:p w14:paraId="180953A8" w14:textId="77777777" w:rsidR="00B049CE" w:rsidRPr="00B049CE" w:rsidRDefault="00B049CE" w:rsidP="00B049CE">
            <w:pPr>
              <w:spacing w:after="0" w:line="240" w:lineRule="auto"/>
              <w:rPr>
                <w:rFonts w:eastAsia="Times New Roman" w:cstheme="minorHAnsi"/>
                <w:b/>
                <w:bCs/>
                <w:sz w:val="24"/>
                <w:szCs w:val="24"/>
              </w:rPr>
            </w:pPr>
            <w:r w:rsidRPr="00B049CE">
              <w:rPr>
                <w:rFonts w:eastAsia="Times New Roman" w:cstheme="minorHAnsi"/>
                <w:b/>
                <w:bCs/>
                <w:sz w:val="24"/>
                <w:szCs w:val="24"/>
              </w:rPr>
              <w:t xml:space="preserve">Anonymous response, HIS </w:t>
            </w:r>
          </w:p>
        </w:tc>
      </w:tr>
      <w:tr w:rsidR="00B049CE" w:rsidRPr="00B049CE" w14:paraId="6A99A257" w14:textId="77777777" w:rsidTr="0062615B">
        <w:tc>
          <w:tcPr>
            <w:tcW w:w="993" w:type="dxa"/>
            <w:tcMar>
              <w:left w:w="57" w:type="dxa"/>
              <w:right w:w="57" w:type="dxa"/>
            </w:tcMar>
          </w:tcPr>
          <w:p w14:paraId="4A4523A7"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t>4.1</w:t>
            </w:r>
          </w:p>
        </w:tc>
        <w:tc>
          <w:tcPr>
            <w:tcW w:w="7229" w:type="dxa"/>
            <w:tcMar>
              <w:left w:w="57" w:type="dxa"/>
              <w:right w:w="57" w:type="dxa"/>
            </w:tcMar>
          </w:tcPr>
          <w:p w14:paraId="597587C5" w14:textId="77777777" w:rsidR="00B049CE" w:rsidRPr="00B049CE" w:rsidRDefault="00B049CE" w:rsidP="00B049CE">
            <w:pPr>
              <w:spacing w:after="0" w:line="240" w:lineRule="auto"/>
              <w:rPr>
                <w:rFonts w:eastAsia="Times New Roman" w:cstheme="minorHAnsi"/>
                <w:b/>
                <w:sz w:val="24"/>
                <w:szCs w:val="24"/>
              </w:rPr>
            </w:pPr>
            <w:r w:rsidRPr="00B049CE">
              <w:rPr>
                <w:rFonts w:eastAsia="Times New Roman" w:cstheme="minorHAnsi"/>
                <w:sz w:val="24"/>
                <w:szCs w:val="24"/>
              </w:rPr>
              <w:t>“</w:t>
            </w:r>
            <w:r w:rsidRPr="00B049CE">
              <w:rPr>
                <w:rFonts w:eastAsia="Times New Roman" w:cstheme="minorHAnsi"/>
                <w:b/>
                <w:sz w:val="24"/>
                <w:szCs w:val="24"/>
              </w:rPr>
              <w:t>First episode of CDI</w:t>
            </w:r>
          </w:p>
          <w:p w14:paraId="0CE6830F"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i/>
                <w:iCs/>
                <w:sz w:val="24"/>
                <w:szCs w:val="24"/>
              </w:rPr>
              <w:t xml:space="preserve">Effectiveness of FMT: </w:t>
            </w:r>
            <w:r w:rsidRPr="00B049CE">
              <w:rPr>
                <w:rFonts w:eastAsia="Times New Roman" w:cstheme="minorHAnsi"/>
                <w:sz w:val="24"/>
                <w:szCs w:val="24"/>
              </w:rPr>
              <w:t>There was weak evidence which suggested that FMT is effective in these patients.</w:t>
            </w:r>
            <w:r w:rsidRPr="00B049CE">
              <w:rPr>
                <w:rFonts w:eastAsia="Times New Roman" w:cstheme="minorHAnsi"/>
                <w:sz w:val="24"/>
                <w:szCs w:val="24"/>
                <w:vertAlign w:val="superscript"/>
              </w:rPr>
              <w:t>29</w:t>
            </w:r>
            <w:r w:rsidRPr="00B049CE">
              <w:rPr>
                <w:rFonts w:eastAsia="Times New Roman" w:cstheme="minorHAnsi"/>
                <w:sz w:val="24"/>
                <w:szCs w:val="24"/>
              </w:rPr>
              <w:t>“</w:t>
            </w:r>
          </w:p>
          <w:p w14:paraId="023E9EE9"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There was an RCT of FMT for first and second episodes of CDI in Lancet Gastroenterol Hepatol </w:t>
            </w:r>
            <w:proofErr w:type="gramStart"/>
            <w:r w:rsidRPr="00B049CE">
              <w:rPr>
                <w:rFonts w:eastAsia="Times New Roman" w:cstheme="minorHAnsi"/>
                <w:sz w:val="24"/>
                <w:szCs w:val="24"/>
              </w:rPr>
              <w:t>2022;7:1083</w:t>
            </w:r>
            <w:proofErr w:type="gramEnd"/>
            <w:r w:rsidRPr="00B049CE">
              <w:rPr>
                <w:rFonts w:eastAsia="Times New Roman" w:cstheme="minorHAnsi"/>
                <w:sz w:val="24"/>
                <w:szCs w:val="24"/>
              </w:rPr>
              <w:t>-91. I have a few issues with this paper, but it is nonetheless an RCT, which should be considered in my view.</w:t>
            </w:r>
          </w:p>
        </w:tc>
        <w:tc>
          <w:tcPr>
            <w:tcW w:w="6456" w:type="dxa"/>
          </w:tcPr>
          <w:p w14:paraId="3762F68F"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Thank you for this comment. The section here is for first episode of CDI while the paper cited used first and second episode. Unfortunately, it is not possible to separate the data for first and second episode in this study and, therefore, we were not able to use the results to support this evidence statement. However, this study is included in the meta-analysis for the effectiveness, and it is also mentioned in the summary section where we say that the effectiveness is established but FMT is still an invasive and expensive procedure and that we do not currently know if it is justified for these patients. </w:t>
            </w:r>
          </w:p>
        </w:tc>
      </w:tr>
      <w:tr w:rsidR="00B049CE" w:rsidRPr="00B049CE" w14:paraId="4E5F4BCD" w14:textId="77777777" w:rsidTr="0062615B">
        <w:tc>
          <w:tcPr>
            <w:tcW w:w="14678" w:type="dxa"/>
            <w:gridSpan w:val="3"/>
            <w:shd w:val="clear" w:color="auto" w:fill="BFBFBF" w:themeFill="background1" w:themeFillShade="BF"/>
            <w:tcMar>
              <w:left w:w="57" w:type="dxa"/>
              <w:right w:w="57" w:type="dxa"/>
            </w:tcMar>
          </w:tcPr>
          <w:p w14:paraId="22F5E502" w14:textId="77777777" w:rsidR="00B049CE" w:rsidRPr="00B049CE" w:rsidRDefault="00B049CE" w:rsidP="00B049CE">
            <w:pPr>
              <w:spacing w:after="0" w:line="240" w:lineRule="auto"/>
              <w:rPr>
                <w:rFonts w:eastAsia="Times New Roman" w:cstheme="minorHAnsi"/>
                <w:b/>
                <w:bCs/>
                <w:sz w:val="24"/>
                <w:szCs w:val="24"/>
              </w:rPr>
            </w:pPr>
            <w:r w:rsidRPr="00B049CE">
              <w:rPr>
                <w:rFonts w:eastAsia="Times New Roman" w:cstheme="minorHAnsi"/>
                <w:b/>
                <w:bCs/>
                <w:sz w:val="24"/>
                <w:szCs w:val="24"/>
              </w:rPr>
              <w:t xml:space="preserve">Anonymous response, HIS </w:t>
            </w:r>
          </w:p>
        </w:tc>
      </w:tr>
      <w:tr w:rsidR="00B049CE" w:rsidRPr="00B049CE" w14:paraId="5139AEF0" w14:textId="77777777" w:rsidTr="0062615B">
        <w:tc>
          <w:tcPr>
            <w:tcW w:w="993" w:type="dxa"/>
            <w:tcMar>
              <w:left w:w="57" w:type="dxa"/>
              <w:right w:w="57" w:type="dxa"/>
            </w:tcMar>
          </w:tcPr>
          <w:p w14:paraId="38EBDBA7"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4. Rationale for recommendations</w:t>
            </w:r>
          </w:p>
        </w:tc>
        <w:tc>
          <w:tcPr>
            <w:tcW w:w="7229" w:type="dxa"/>
            <w:tcMar>
              <w:left w:w="57" w:type="dxa"/>
              <w:right w:w="57" w:type="dxa"/>
            </w:tcMar>
          </w:tcPr>
          <w:p w14:paraId="4B5669E3"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Patients with severe, </w:t>
            </w:r>
            <w:proofErr w:type="gramStart"/>
            <w:r w:rsidRPr="00B049CE">
              <w:rPr>
                <w:rFonts w:eastAsia="Times New Roman" w:cstheme="minorHAnsi"/>
                <w:sz w:val="24"/>
                <w:szCs w:val="24"/>
                <w:lang w:val="en-US"/>
              </w:rPr>
              <w:t>complicated</w:t>
            </w:r>
            <w:proofErr w:type="gramEnd"/>
            <w:r w:rsidRPr="00B049CE">
              <w:rPr>
                <w:rFonts w:eastAsia="Times New Roman" w:cstheme="minorHAnsi"/>
                <w:sz w:val="24"/>
                <w:szCs w:val="24"/>
                <w:lang w:val="en-US"/>
              </w:rPr>
              <w:t xml:space="preserve"> or fulminant CDI Effectiveness of FMT in patients with severe CDI: There was </w:t>
            </w:r>
            <w:r w:rsidRPr="00B049CE">
              <w:rPr>
                <w:rFonts w:eastAsia="Times New Roman" w:cstheme="minorHAnsi"/>
                <w:sz w:val="24"/>
                <w:szCs w:val="24"/>
                <w:highlight w:val="yellow"/>
                <w:lang w:val="en-US"/>
              </w:rPr>
              <w:t>weak evidence</w:t>
            </w:r>
            <w:r w:rsidRPr="00B049CE">
              <w:rPr>
                <w:rFonts w:eastAsia="Times New Roman" w:cstheme="minorHAnsi"/>
                <w:sz w:val="24"/>
                <w:szCs w:val="24"/>
                <w:lang w:val="en-US"/>
              </w:rPr>
              <w:t xml:space="preserve"> which suggested that FMT is beneficial in this patient group.16</w:t>
            </w:r>
          </w:p>
          <w:p w14:paraId="4D290999"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Effectiveness of FMT in patients with severe CDI compared to patients with mild/moderate CDI: There was moderate evidence which suggested </w:t>
            </w:r>
            <w:r w:rsidRPr="00B049CE">
              <w:rPr>
                <w:rFonts w:eastAsia="Times New Roman" w:cstheme="minorHAnsi"/>
                <w:sz w:val="24"/>
                <w:szCs w:val="24"/>
                <w:highlight w:val="yellow"/>
                <w:lang w:val="en-US"/>
              </w:rPr>
              <w:t>there was no difference between these two patient groups</w:t>
            </w:r>
            <w:r w:rsidRPr="00B049CE">
              <w:rPr>
                <w:rFonts w:eastAsia="Times New Roman" w:cstheme="minorHAnsi"/>
                <w:sz w:val="24"/>
                <w:szCs w:val="24"/>
                <w:lang w:val="en-US"/>
              </w:rPr>
              <w:t xml:space="preserve">.17-23 Effectiveness of FMT in patients with refractory or fulminant CDI vs recurrent CDI: There was </w:t>
            </w:r>
            <w:r w:rsidRPr="00B049CE">
              <w:rPr>
                <w:rFonts w:eastAsia="Times New Roman" w:cstheme="minorHAnsi"/>
                <w:sz w:val="24"/>
                <w:szCs w:val="24"/>
                <w:highlight w:val="yellow"/>
                <w:lang w:val="en-US"/>
              </w:rPr>
              <w:t>inconsistent evidence</w:t>
            </w:r>
            <w:r w:rsidRPr="00B049CE">
              <w:rPr>
                <w:rFonts w:eastAsia="Times New Roman" w:cstheme="minorHAnsi"/>
                <w:sz w:val="24"/>
                <w:szCs w:val="24"/>
                <w:lang w:val="en-US"/>
              </w:rPr>
              <w:t xml:space="preserve"> which suggested no difference in effect for these patient groups.24-28 Effectiveness of FMT in patients with pseudomembranous colitis compared to other patients: There was </w:t>
            </w:r>
            <w:r w:rsidRPr="00B049CE">
              <w:rPr>
                <w:rFonts w:eastAsia="Times New Roman" w:cstheme="minorHAnsi"/>
                <w:sz w:val="24"/>
                <w:szCs w:val="24"/>
                <w:highlight w:val="yellow"/>
                <w:lang w:val="en-US"/>
              </w:rPr>
              <w:t>weak evidence</w:t>
            </w:r>
            <w:r w:rsidRPr="00B049CE">
              <w:rPr>
                <w:rFonts w:eastAsia="Times New Roman" w:cstheme="minorHAnsi"/>
                <w:sz w:val="24"/>
                <w:szCs w:val="24"/>
                <w:lang w:val="en-US"/>
              </w:rPr>
              <w:t>, and it is not clear whether in these patients FMT may be less successful.18,21</w:t>
            </w:r>
          </w:p>
          <w:p w14:paraId="3A620E25"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lastRenderedPageBreak/>
              <w:t xml:space="preserve">Adverse events in patients with severe, </w:t>
            </w:r>
            <w:proofErr w:type="gramStart"/>
            <w:r w:rsidRPr="00B049CE">
              <w:rPr>
                <w:rFonts w:eastAsia="Times New Roman" w:cstheme="minorHAnsi"/>
                <w:sz w:val="24"/>
                <w:szCs w:val="24"/>
                <w:lang w:val="en-US"/>
              </w:rPr>
              <w:t>refractory</w:t>
            </w:r>
            <w:proofErr w:type="gramEnd"/>
            <w:r w:rsidRPr="00B049CE">
              <w:rPr>
                <w:rFonts w:eastAsia="Times New Roman" w:cstheme="minorHAnsi"/>
                <w:sz w:val="24"/>
                <w:szCs w:val="24"/>
                <w:lang w:val="en-US"/>
              </w:rPr>
              <w:t xml:space="preserve"> or fulminant CDI: There was weak evidence which suggested there was no increased risk associated with FMT for these types of patients.16,17,24 Adverse events in patients with pseudomembranous colitis: </w:t>
            </w:r>
            <w:r w:rsidRPr="00B049CE">
              <w:rPr>
                <w:rFonts w:eastAsia="Times New Roman" w:cstheme="minorHAnsi"/>
                <w:sz w:val="24"/>
                <w:szCs w:val="24"/>
                <w:highlight w:val="yellow"/>
                <w:lang w:val="en-US"/>
              </w:rPr>
              <w:t>There were no studies</w:t>
            </w:r>
            <w:r w:rsidRPr="00B049CE">
              <w:rPr>
                <w:rFonts w:eastAsia="Times New Roman" w:cstheme="minorHAnsi"/>
                <w:sz w:val="24"/>
                <w:szCs w:val="24"/>
                <w:lang w:val="en-US"/>
              </w:rPr>
              <w:t>.</w:t>
            </w:r>
          </w:p>
          <w:p w14:paraId="5EC579EE"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Good practice points</w:t>
            </w:r>
          </w:p>
          <w:p w14:paraId="58E38D28"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GPP 1.1: Consider early FMT for patients with severe or complicated CDI who are not responding to antimicrobial therapy.</w:t>
            </w:r>
          </w:p>
          <w:p w14:paraId="2CAB0E60"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Is the guideline suggesting early FMT for severe or complicated CDI who are not responding to antimicrobial therapy without adequate evidence?</w:t>
            </w:r>
          </w:p>
          <w:p w14:paraId="3953405B" w14:textId="77777777" w:rsidR="00B049CE" w:rsidRPr="00B049CE" w:rsidRDefault="00B049CE" w:rsidP="00B049CE">
            <w:pPr>
              <w:spacing w:after="0" w:line="240" w:lineRule="auto"/>
              <w:rPr>
                <w:rFonts w:eastAsia="Times New Roman" w:cstheme="minorHAnsi"/>
                <w:sz w:val="24"/>
                <w:szCs w:val="24"/>
                <w:lang w:val="en-US"/>
              </w:rPr>
            </w:pPr>
          </w:p>
        </w:tc>
        <w:tc>
          <w:tcPr>
            <w:tcW w:w="6456" w:type="dxa"/>
          </w:tcPr>
          <w:p w14:paraId="49D8C7D6"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lastRenderedPageBreak/>
              <w:t>Thank you for this comment. Please note that weak evidence is the quality of the evidence while ‘beneficial’ implies the direction and an observed positive effect. The statements can be interpreted (and this has been summarized further down) as:</w:t>
            </w:r>
          </w:p>
          <w:p w14:paraId="1C774259"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 evidence is weak but it still suggests that FMT is effective for patients with severe/complicated/fulminant CDI. </w:t>
            </w:r>
          </w:p>
          <w:p w14:paraId="26390F80"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evidence was moderate but suggested that FMT is equally effective in patients with severe as well as with mild/moderate CDI</w:t>
            </w:r>
          </w:p>
          <w:p w14:paraId="761459B1"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evidence was inconsistent refractory or fulminant CDI but again, suggested that FMT is as effective as for patients with recurrent CDI</w:t>
            </w:r>
          </w:p>
          <w:p w14:paraId="05C1E459"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lastRenderedPageBreak/>
              <w:t xml:space="preserve">- evidence is weak but there is a possibility that FMT is less effective for patients with pseudomembranous, which does not imply it is ineffective. </w:t>
            </w:r>
          </w:p>
          <w:p w14:paraId="7A61E659"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 </w:t>
            </w:r>
            <w:proofErr w:type="gramStart"/>
            <w:r w:rsidRPr="00B049CE">
              <w:rPr>
                <w:rFonts w:eastAsia="Times New Roman" w:cstheme="minorHAnsi"/>
                <w:sz w:val="24"/>
                <w:szCs w:val="24"/>
                <w:lang w:val="en-US"/>
              </w:rPr>
              <w:t>with</w:t>
            </w:r>
            <w:proofErr w:type="gramEnd"/>
            <w:r w:rsidRPr="00B049CE">
              <w:rPr>
                <w:rFonts w:eastAsia="Times New Roman" w:cstheme="minorHAnsi"/>
                <w:sz w:val="24"/>
                <w:szCs w:val="24"/>
                <w:lang w:val="en-US"/>
              </w:rPr>
              <w:t xml:space="preserve"> the volume of the evidence published on FMT, we think that the small number of studies which point out to no effect means that it is unlikely that there is a risk of adverse events from FMT. We think the risk is greater if FMT is not given. </w:t>
            </w:r>
          </w:p>
          <w:p w14:paraId="18CED121"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Thus, we think there is sufficient evidence to recommend FMT to this type of </w:t>
            </w:r>
            <w:proofErr w:type="gramStart"/>
            <w:r w:rsidRPr="00B049CE">
              <w:rPr>
                <w:rFonts w:eastAsia="Times New Roman" w:cstheme="minorHAnsi"/>
                <w:sz w:val="24"/>
                <w:szCs w:val="24"/>
                <w:lang w:val="en-US"/>
              </w:rPr>
              <w:t>patients</w:t>
            </w:r>
            <w:proofErr w:type="gramEnd"/>
            <w:r w:rsidRPr="00B049CE">
              <w:rPr>
                <w:rFonts w:eastAsia="Times New Roman" w:cstheme="minorHAnsi"/>
                <w:sz w:val="24"/>
                <w:szCs w:val="24"/>
                <w:lang w:val="en-US"/>
              </w:rPr>
              <w:t xml:space="preserve">. Please also note that this good practice point (not recommendation) especially states that, for these patients, FMT should be considered earlier than usual. </w:t>
            </w:r>
          </w:p>
        </w:tc>
      </w:tr>
      <w:tr w:rsidR="00B049CE" w:rsidRPr="00B049CE" w14:paraId="23627312" w14:textId="77777777" w:rsidTr="0062615B">
        <w:tc>
          <w:tcPr>
            <w:tcW w:w="993" w:type="dxa"/>
            <w:tcMar>
              <w:left w:w="57" w:type="dxa"/>
              <w:right w:w="57" w:type="dxa"/>
            </w:tcMar>
          </w:tcPr>
          <w:p w14:paraId="2CF8FFC3" w14:textId="77777777" w:rsidR="00B049CE" w:rsidRPr="00B049CE" w:rsidRDefault="00B049CE" w:rsidP="00B049CE">
            <w:pPr>
              <w:spacing w:after="0" w:line="240" w:lineRule="auto"/>
              <w:rPr>
                <w:rFonts w:eastAsia="Times New Roman" w:cstheme="minorHAnsi"/>
                <w:sz w:val="24"/>
                <w:szCs w:val="24"/>
                <w:lang w:val="en-US"/>
              </w:rPr>
            </w:pPr>
          </w:p>
        </w:tc>
        <w:tc>
          <w:tcPr>
            <w:tcW w:w="7229" w:type="dxa"/>
            <w:tcMar>
              <w:left w:w="57" w:type="dxa"/>
              <w:right w:w="57" w:type="dxa"/>
            </w:tcMar>
          </w:tcPr>
          <w:p w14:paraId="677895C2"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It doesn’t have any comment on the early FMT for fulminant CDI. Does complicated CDI and fulminant CDI have the same meaning in this guideline?</w:t>
            </w:r>
          </w:p>
        </w:tc>
        <w:tc>
          <w:tcPr>
            <w:tcW w:w="6456" w:type="dxa"/>
            <w:shd w:val="clear" w:color="auto" w:fill="auto"/>
          </w:tcPr>
          <w:p w14:paraId="18161CFA"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Thank you. We added fulminant CDI to the recommendation. </w:t>
            </w:r>
          </w:p>
        </w:tc>
      </w:tr>
      <w:tr w:rsidR="00B049CE" w:rsidRPr="00B049CE" w14:paraId="15186472" w14:textId="77777777" w:rsidTr="0062615B">
        <w:tc>
          <w:tcPr>
            <w:tcW w:w="993" w:type="dxa"/>
            <w:tcMar>
              <w:left w:w="57" w:type="dxa"/>
              <w:right w:w="57" w:type="dxa"/>
            </w:tcMar>
          </w:tcPr>
          <w:p w14:paraId="12E541A0" w14:textId="77777777" w:rsidR="00B049CE" w:rsidRPr="00B049CE" w:rsidRDefault="00B049CE" w:rsidP="00B049CE">
            <w:pPr>
              <w:spacing w:after="0" w:line="240" w:lineRule="auto"/>
              <w:rPr>
                <w:rFonts w:eastAsia="Times New Roman" w:cstheme="minorHAnsi"/>
                <w:sz w:val="24"/>
                <w:szCs w:val="24"/>
                <w:lang w:val="en-US"/>
              </w:rPr>
            </w:pPr>
          </w:p>
        </w:tc>
        <w:tc>
          <w:tcPr>
            <w:tcW w:w="7229" w:type="dxa"/>
            <w:tcMar>
              <w:left w:w="57" w:type="dxa"/>
              <w:right w:w="57" w:type="dxa"/>
            </w:tcMar>
          </w:tcPr>
          <w:p w14:paraId="00134091"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How early is early for FMT in this sentence?</w:t>
            </w:r>
          </w:p>
        </w:tc>
        <w:tc>
          <w:tcPr>
            <w:tcW w:w="6456" w:type="dxa"/>
          </w:tcPr>
          <w:p w14:paraId="7DA098F2"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Thank you for this comment. Recommendation 1.3 states to offer FMT for patients who had a second recurrence. However, considering the evidence highlighted in the above response, we think it would not be best to offer FMT earlier than usual. Therefore, for the first or the second episode. </w:t>
            </w:r>
          </w:p>
        </w:tc>
      </w:tr>
      <w:tr w:rsidR="00B049CE" w:rsidRPr="00B049CE" w14:paraId="54BB866E" w14:textId="77777777" w:rsidTr="0062615B">
        <w:tc>
          <w:tcPr>
            <w:tcW w:w="993" w:type="dxa"/>
            <w:tcMar>
              <w:left w:w="57" w:type="dxa"/>
              <w:right w:w="57" w:type="dxa"/>
            </w:tcMar>
          </w:tcPr>
          <w:p w14:paraId="63D21326"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t xml:space="preserve">Resolution or improvement of conditions following </w:t>
            </w:r>
            <w:proofErr w:type="gramStart"/>
            <w:r w:rsidRPr="00B049CE">
              <w:rPr>
                <w:rFonts w:eastAsia="Times New Roman" w:cstheme="minorHAnsi"/>
                <w:iCs/>
                <w:sz w:val="24"/>
                <w:szCs w:val="24"/>
              </w:rPr>
              <w:t>FMT</w:t>
            </w:r>
            <w:proofErr w:type="gramEnd"/>
          </w:p>
          <w:p w14:paraId="0D357951"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lastRenderedPageBreak/>
              <w:t>(</w:t>
            </w:r>
            <w:proofErr w:type="spellStart"/>
            <w:r w:rsidRPr="00B049CE">
              <w:rPr>
                <w:rFonts w:eastAsia="Times New Roman" w:cstheme="minorHAnsi"/>
                <w:iCs/>
                <w:sz w:val="24"/>
                <w:szCs w:val="24"/>
              </w:rPr>
              <w:t>P.g</w:t>
            </w:r>
            <w:proofErr w:type="spellEnd"/>
            <w:r w:rsidRPr="00B049CE">
              <w:rPr>
                <w:rFonts w:eastAsia="Times New Roman" w:cstheme="minorHAnsi"/>
                <w:iCs/>
                <w:sz w:val="24"/>
                <w:szCs w:val="24"/>
              </w:rPr>
              <w:t xml:space="preserve"> 13, line 309)</w:t>
            </w:r>
          </w:p>
        </w:tc>
        <w:tc>
          <w:tcPr>
            <w:tcW w:w="7229" w:type="dxa"/>
            <w:tcMar>
              <w:left w:w="57" w:type="dxa"/>
              <w:right w:w="57" w:type="dxa"/>
            </w:tcMar>
          </w:tcPr>
          <w:p w14:paraId="577BCA1A"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lastRenderedPageBreak/>
              <w:t>One dose of FMT may be less effective in patients with pseudomembranous colitis and to achieve a desired effect, these patients could benefit from additional doses. However, clinically, this issue may not be relevant because in practice CDI patients are not routinely assessed for the presence of pseudomembranous colitis.</w:t>
            </w:r>
          </w:p>
          <w:p w14:paraId="430531B2"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In my own clinical practice, CDI patients are assessed for the presence of pseudomembranous colitis if the patients have severe </w:t>
            </w:r>
            <w:proofErr w:type="spellStart"/>
            <w:proofErr w:type="gramStart"/>
            <w:r w:rsidRPr="00B049CE">
              <w:rPr>
                <w:rFonts w:eastAsia="Times New Roman" w:cstheme="minorHAnsi"/>
                <w:sz w:val="24"/>
                <w:szCs w:val="24"/>
              </w:rPr>
              <w:t>C.diff</w:t>
            </w:r>
            <w:proofErr w:type="spellEnd"/>
            <w:proofErr w:type="gramEnd"/>
            <w:r w:rsidRPr="00B049CE">
              <w:rPr>
                <w:rFonts w:eastAsia="Times New Roman" w:cstheme="minorHAnsi"/>
                <w:sz w:val="24"/>
                <w:szCs w:val="24"/>
              </w:rPr>
              <w:t xml:space="preserve"> colitis </w:t>
            </w:r>
            <w:r w:rsidRPr="00B049CE">
              <w:rPr>
                <w:rFonts w:eastAsia="Times New Roman" w:cstheme="minorHAnsi"/>
                <w:sz w:val="24"/>
                <w:szCs w:val="24"/>
              </w:rPr>
              <w:lastRenderedPageBreak/>
              <w:t>features. It should have mentioned clearly which CDI patients are not routinely assessed for the presence of pseudomembranous colitis.</w:t>
            </w:r>
          </w:p>
        </w:tc>
        <w:tc>
          <w:tcPr>
            <w:tcW w:w="6456" w:type="dxa"/>
          </w:tcPr>
          <w:p w14:paraId="395042DF"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lastRenderedPageBreak/>
              <w:t xml:space="preserve">Thank you. We previously discussed this issue at the meetings and the consensus was that, in practice, it is usually not known whether patients have pseudomembranous colitis. In fact, the experience of most of the working party members was that it was discovered only when FMT was delivered via colonoscopy. However, we do not think </w:t>
            </w:r>
            <w:proofErr w:type="gramStart"/>
            <w:r w:rsidRPr="00B049CE">
              <w:rPr>
                <w:rFonts w:eastAsia="Times New Roman" w:cstheme="minorHAnsi"/>
                <w:sz w:val="24"/>
                <w:szCs w:val="24"/>
              </w:rPr>
              <w:t>this changes</w:t>
            </w:r>
            <w:proofErr w:type="gramEnd"/>
            <w:r w:rsidRPr="00B049CE">
              <w:rPr>
                <w:rFonts w:eastAsia="Times New Roman" w:cstheme="minorHAnsi"/>
                <w:sz w:val="24"/>
                <w:szCs w:val="24"/>
              </w:rPr>
              <w:t xml:space="preserve"> any of our recommendations. I.e. if a patient does not respond to FMT, we recommend that another FMT is offered. Therefore, clinically, </w:t>
            </w:r>
            <w:r w:rsidRPr="00B049CE">
              <w:rPr>
                <w:rFonts w:eastAsia="Times New Roman" w:cstheme="minorHAnsi"/>
                <w:sz w:val="24"/>
                <w:szCs w:val="24"/>
              </w:rPr>
              <w:lastRenderedPageBreak/>
              <w:t>same decisions would be made for patients with and without pseudomembranous colitis.</w:t>
            </w:r>
          </w:p>
          <w:p w14:paraId="57222A3F"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Please note that for this reason, we did not make any recommendations regarding this issue. It is only mentioned in a summary to highlight how the working party interpreted the evidence. </w:t>
            </w:r>
          </w:p>
        </w:tc>
      </w:tr>
      <w:tr w:rsidR="00B049CE" w:rsidRPr="00B049CE" w14:paraId="464DD996" w14:textId="77777777" w:rsidTr="0062615B">
        <w:tc>
          <w:tcPr>
            <w:tcW w:w="993" w:type="dxa"/>
            <w:shd w:val="clear" w:color="auto" w:fill="auto"/>
            <w:tcMar>
              <w:left w:w="57" w:type="dxa"/>
              <w:right w:w="57" w:type="dxa"/>
            </w:tcMar>
          </w:tcPr>
          <w:p w14:paraId="3921181B"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lastRenderedPageBreak/>
              <w:t>Box 1: Recommended Donor History Questionnaire</w:t>
            </w:r>
          </w:p>
          <w:p w14:paraId="45A69E19"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t>(</w:t>
            </w:r>
            <w:proofErr w:type="spellStart"/>
            <w:r w:rsidRPr="00B049CE">
              <w:rPr>
                <w:rFonts w:eastAsia="Times New Roman" w:cstheme="minorHAnsi"/>
                <w:iCs/>
                <w:sz w:val="24"/>
                <w:szCs w:val="24"/>
              </w:rPr>
              <w:t>P.g</w:t>
            </w:r>
            <w:proofErr w:type="spellEnd"/>
            <w:r w:rsidRPr="00B049CE">
              <w:rPr>
                <w:rFonts w:eastAsia="Times New Roman" w:cstheme="minorHAnsi"/>
                <w:iCs/>
                <w:sz w:val="24"/>
                <w:szCs w:val="24"/>
              </w:rPr>
              <w:t xml:space="preserve"> 25)</w:t>
            </w:r>
          </w:p>
        </w:tc>
        <w:tc>
          <w:tcPr>
            <w:tcW w:w="7229" w:type="dxa"/>
            <w:shd w:val="clear" w:color="auto" w:fill="auto"/>
            <w:tcMar>
              <w:left w:w="57" w:type="dxa"/>
              <w:right w:w="57" w:type="dxa"/>
            </w:tcMar>
          </w:tcPr>
          <w:p w14:paraId="240BFA34"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It should include animal exposure/contact including pets. Some GI pathogens including worms can be transmissible from animals to humans.</w:t>
            </w:r>
          </w:p>
          <w:p w14:paraId="7A8A5D8D"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It should also ask the history of worms’ infestations and any anti-helminths agents taken in the screening questions, although stool </w:t>
            </w:r>
            <w:proofErr w:type="spellStart"/>
            <w:r w:rsidRPr="00B049CE">
              <w:rPr>
                <w:rFonts w:eastAsia="Times New Roman" w:cstheme="minorHAnsi"/>
                <w:sz w:val="24"/>
                <w:szCs w:val="24"/>
              </w:rPr>
              <w:t>ocp</w:t>
            </w:r>
            <w:proofErr w:type="spellEnd"/>
            <w:r w:rsidRPr="00B049CE">
              <w:rPr>
                <w:rFonts w:eastAsia="Times New Roman" w:cstheme="minorHAnsi"/>
                <w:sz w:val="24"/>
                <w:szCs w:val="24"/>
              </w:rPr>
              <w:t xml:space="preserve"> are tested.</w:t>
            </w:r>
          </w:p>
        </w:tc>
        <w:tc>
          <w:tcPr>
            <w:tcW w:w="6456" w:type="dxa"/>
            <w:shd w:val="clear" w:color="auto" w:fill="auto"/>
          </w:tcPr>
          <w:p w14:paraId="2933E110"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Thank you for your response. We discussed your comment and we do not think this is feasible. This would require the centres to have a different testing schedule. If the testing schedule stays the same regardless of whether there's a different risk and factor question, then there would be no point having the question on the questionnaire.</w:t>
            </w:r>
          </w:p>
        </w:tc>
      </w:tr>
      <w:tr w:rsidR="00B049CE" w:rsidRPr="00B049CE" w14:paraId="3B8C1C45" w14:textId="77777777" w:rsidTr="0062615B">
        <w:tc>
          <w:tcPr>
            <w:tcW w:w="993" w:type="dxa"/>
            <w:shd w:val="clear" w:color="auto" w:fill="auto"/>
            <w:tcMar>
              <w:left w:w="57" w:type="dxa"/>
              <w:right w:w="57" w:type="dxa"/>
            </w:tcMar>
          </w:tcPr>
          <w:p w14:paraId="33A120DE"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t>Box 3: Recommended Stool Screening</w:t>
            </w:r>
          </w:p>
          <w:p w14:paraId="4776A22A"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t>(</w:t>
            </w:r>
            <w:proofErr w:type="spellStart"/>
            <w:r w:rsidRPr="00B049CE">
              <w:rPr>
                <w:rFonts w:eastAsia="Times New Roman" w:cstheme="minorHAnsi"/>
                <w:iCs/>
                <w:sz w:val="24"/>
                <w:szCs w:val="24"/>
              </w:rPr>
              <w:t>P.g</w:t>
            </w:r>
            <w:proofErr w:type="spellEnd"/>
            <w:r w:rsidRPr="00B049CE">
              <w:rPr>
                <w:rFonts w:eastAsia="Times New Roman" w:cstheme="minorHAnsi"/>
                <w:iCs/>
                <w:sz w:val="24"/>
                <w:szCs w:val="24"/>
              </w:rPr>
              <w:t xml:space="preserve"> 26)</w:t>
            </w:r>
          </w:p>
        </w:tc>
        <w:tc>
          <w:tcPr>
            <w:tcW w:w="7229" w:type="dxa"/>
            <w:shd w:val="clear" w:color="auto" w:fill="auto"/>
            <w:tcMar>
              <w:left w:w="57" w:type="dxa"/>
              <w:right w:w="57" w:type="dxa"/>
            </w:tcMar>
          </w:tcPr>
          <w:p w14:paraId="2D3803F8"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Is Multidrug resistant Pseudomonas aeruginosa included in the stool screening for multidrug resistant bacteria?</w:t>
            </w:r>
          </w:p>
          <w:p w14:paraId="58FD0B59"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Is screening of Big V carbapenemase producers enough? Does it need to be screened out of Big V like GES and many others? The guideline doesn’t mention which CPEs should be clear from the donor.</w:t>
            </w:r>
          </w:p>
        </w:tc>
        <w:tc>
          <w:tcPr>
            <w:tcW w:w="6456" w:type="dxa"/>
            <w:shd w:val="clear" w:color="auto" w:fill="auto"/>
          </w:tcPr>
          <w:p w14:paraId="7EA92F64"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Thank you, we think our advice here is adequate. With testing for microorganism, there needs to be a degree of flexibility as to which MDROs are relevant due to different epidemiology and donor risk factors. We therefore think it is up to the centre to think which MDROs are relevant to them. We have added the wording “included but not limited to…” to make it clearer. </w:t>
            </w:r>
          </w:p>
        </w:tc>
      </w:tr>
      <w:tr w:rsidR="00B049CE" w:rsidRPr="00B049CE" w14:paraId="778157EF" w14:textId="77777777" w:rsidTr="0062615B">
        <w:tc>
          <w:tcPr>
            <w:tcW w:w="14678" w:type="dxa"/>
            <w:gridSpan w:val="3"/>
            <w:shd w:val="clear" w:color="auto" w:fill="BFBFBF" w:themeFill="background1" w:themeFillShade="BF"/>
            <w:tcMar>
              <w:left w:w="57" w:type="dxa"/>
              <w:right w:w="57" w:type="dxa"/>
            </w:tcMar>
          </w:tcPr>
          <w:p w14:paraId="0925502C" w14:textId="77777777" w:rsidR="00B049CE" w:rsidRPr="00B049CE" w:rsidRDefault="00B049CE" w:rsidP="00B049CE">
            <w:pPr>
              <w:spacing w:after="0" w:line="240" w:lineRule="auto"/>
              <w:rPr>
                <w:rFonts w:eastAsia="Times New Roman" w:cstheme="minorHAnsi"/>
                <w:b/>
                <w:bCs/>
                <w:sz w:val="24"/>
                <w:szCs w:val="24"/>
              </w:rPr>
            </w:pPr>
            <w:r w:rsidRPr="00B049CE">
              <w:rPr>
                <w:rFonts w:eastAsia="Times New Roman" w:cstheme="minorHAnsi"/>
                <w:b/>
                <w:bCs/>
                <w:sz w:val="24"/>
                <w:szCs w:val="24"/>
              </w:rPr>
              <w:t xml:space="preserve">Dr Bin Gao, Tianjin 4th Centre Hospital, Tianjin, China, HIS </w:t>
            </w:r>
          </w:p>
        </w:tc>
      </w:tr>
      <w:tr w:rsidR="00B049CE" w:rsidRPr="00B049CE" w14:paraId="2D3B53BC" w14:textId="77777777" w:rsidTr="0062615B">
        <w:tc>
          <w:tcPr>
            <w:tcW w:w="993" w:type="dxa"/>
            <w:tcMar>
              <w:left w:w="57" w:type="dxa"/>
              <w:right w:w="57" w:type="dxa"/>
            </w:tcMar>
          </w:tcPr>
          <w:p w14:paraId="3817759E"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iCs/>
                <w:sz w:val="24"/>
                <w:szCs w:val="24"/>
              </w:rPr>
              <w:t>General</w:t>
            </w:r>
          </w:p>
        </w:tc>
        <w:tc>
          <w:tcPr>
            <w:tcW w:w="7229" w:type="dxa"/>
            <w:tcMar>
              <w:left w:w="57" w:type="dxa"/>
              <w:right w:w="57" w:type="dxa"/>
            </w:tcMar>
          </w:tcPr>
          <w:p w14:paraId="770809BC"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eastAsia="zh-CN"/>
              </w:rPr>
              <w:t>Please consider adding inflammatory bowel disease before the IBD and bracketing it in Page 3, and wording IBD directly in Page 10.</w:t>
            </w:r>
          </w:p>
        </w:tc>
        <w:tc>
          <w:tcPr>
            <w:tcW w:w="6456" w:type="dxa"/>
          </w:tcPr>
          <w:p w14:paraId="0A6A5B40"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Thank you, we changed this. </w:t>
            </w:r>
          </w:p>
        </w:tc>
      </w:tr>
      <w:tr w:rsidR="00B049CE" w:rsidRPr="00B049CE" w14:paraId="60DF1807" w14:textId="77777777" w:rsidTr="0062615B">
        <w:tc>
          <w:tcPr>
            <w:tcW w:w="993" w:type="dxa"/>
            <w:tcMar>
              <w:left w:w="57" w:type="dxa"/>
              <w:right w:w="57" w:type="dxa"/>
            </w:tcMar>
          </w:tcPr>
          <w:p w14:paraId="58081096"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iCs/>
                <w:sz w:val="24"/>
                <w:szCs w:val="24"/>
              </w:rPr>
              <w:t>6.1, 6.2, GPP 6.1</w:t>
            </w:r>
          </w:p>
        </w:tc>
        <w:tc>
          <w:tcPr>
            <w:tcW w:w="7229" w:type="dxa"/>
            <w:tcMar>
              <w:left w:w="57" w:type="dxa"/>
              <w:right w:w="57" w:type="dxa"/>
            </w:tcMar>
          </w:tcPr>
          <w:p w14:paraId="48713AA9"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eastAsia="zh-CN"/>
              </w:rPr>
              <w:t>Please consider choosing item of 6.2 or GPP 6.1 either, rather than both.</w:t>
            </w:r>
          </w:p>
        </w:tc>
        <w:tc>
          <w:tcPr>
            <w:tcW w:w="6456" w:type="dxa"/>
          </w:tcPr>
          <w:p w14:paraId="3AE43C03" w14:textId="77777777" w:rsidR="00B049CE" w:rsidRPr="00B049CE" w:rsidRDefault="00B049CE" w:rsidP="00B049CE">
            <w:pPr>
              <w:spacing w:after="0" w:line="240" w:lineRule="auto"/>
              <w:rPr>
                <w:rFonts w:eastAsia="Times New Roman" w:cstheme="minorHAnsi"/>
                <w:sz w:val="24"/>
                <w:szCs w:val="24"/>
                <w:lang w:val="en-US"/>
              </w:rPr>
            </w:pPr>
            <w:r w:rsidRPr="00B049CE">
              <w:rPr>
                <w:rFonts w:eastAsia="Times New Roman" w:cstheme="minorHAnsi"/>
                <w:sz w:val="24"/>
                <w:szCs w:val="24"/>
                <w:lang w:val="en-US"/>
              </w:rPr>
              <w:t xml:space="preserve">Thank you, we corrected this issue. </w:t>
            </w:r>
          </w:p>
        </w:tc>
      </w:tr>
      <w:tr w:rsidR="00B049CE" w:rsidRPr="00B049CE" w14:paraId="0EB55294" w14:textId="77777777" w:rsidTr="0062615B">
        <w:tc>
          <w:tcPr>
            <w:tcW w:w="993" w:type="dxa"/>
            <w:tcMar>
              <w:left w:w="57" w:type="dxa"/>
              <w:right w:w="57" w:type="dxa"/>
            </w:tcMar>
          </w:tcPr>
          <w:p w14:paraId="69A9B5AF"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lastRenderedPageBreak/>
              <w:t>9.2</w:t>
            </w:r>
          </w:p>
        </w:tc>
        <w:tc>
          <w:tcPr>
            <w:tcW w:w="7229" w:type="dxa"/>
            <w:tcMar>
              <w:left w:w="57" w:type="dxa"/>
              <w:right w:w="57" w:type="dxa"/>
            </w:tcMar>
          </w:tcPr>
          <w:p w14:paraId="2EABDF0E"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lang w:eastAsia="zh-CN"/>
              </w:rPr>
              <w:t xml:space="preserve">9.2: When offering compassionate use of FMT, the following conditions must be met </w:t>
            </w:r>
            <w:r w:rsidRPr="00B049CE">
              <w:rPr>
                <w:rFonts w:eastAsia="Times New Roman" w:cstheme="minorHAnsi"/>
                <w:sz w:val="24"/>
                <w:szCs w:val="24"/>
                <w:highlight w:val="yellow"/>
                <w:lang w:eastAsia="zh-CN"/>
              </w:rPr>
              <w:t>simultaneously (at once)</w:t>
            </w:r>
            <w:r w:rsidRPr="00B049CE">
              <w:rPr>
                <w:rFonts w:eastAsia="Times New Roman" w:cstheme="minorHAnsi"/>
                <w:sz w:val="24"/>
                <w:szCs w:val="24"/>
                <w:lang w:eastAsia="zh-CN"/>
              </w:rPr>
              <w:t>:</w:t>
            </w:r>
          </w:p>
        </w:tc>
        <w:tc>
          <w:tcPr>
            <w:tcW w:w="6456" w:type="dxa"/>
          </w:tcPr>
          <w:p w14:paraId="1298E5D2"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Thank you for your comment. We do not think this is necessary. It is clear from the sentence that all conditions must be met which implies that they all need to occur at the same time. </w:t>
            </w:r>
          </w:p>
        </w:tc>
      </w:tr>
      <w:tr w:rsidR="00B049CE" w:rsidRPr="00B049CE" w14:paraId="6FC57C87" w14:textId="77777777" w:rsidTr="0062615B">
        <w:tc>
          <w:tcPr>
            <w:tcW w:w="993" w:type="dxa"/>
            <w:tcMar>
              <w:left w:w="57" w:type="dxa"/>
              <w:right w:w="57" w:type="dxa"/>
            </w:tcMar>
          </w:tcPr>
          <w:p w14:paraId="5D2DAE76"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rPr>
              <w:t xml:space="preserve"> </w:t>
            </w:r>
            <w:r w:rsidRPr="00B049CE">
              <w:rPr>
                <w:rFonts w:eastAsia="Times New Roman" w:cstheme="minorHAnsi"/>
                <w:iCs/>
                <w:sz w:val="24"/>
                <w:szCs w:val="24"/>
                <w:lang w:eastAsia="zh-CN"/>
              </w:rPr>
              <w:t>(P. 6, line 64</w:t>
            </w:r>
          </w:p>
        </w:tc>
        <w:tc>
          <w:tcPr>
            <w:tcW w:w="7229" w:type="dxa"/>
            <w:tcMar>
              <w:left w:w="57" w:type="dxa"/>
              <w:right w:w="57" w:type="dxa"/>
            </w:tcMar>
          </w:tcPr>
          <w:p w14:paraId="3C8AD5A3"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lang w:eastAsia="zh-CN"/>
              </w:rPr>
              <w:t>Please consider adding acronym of the term “irritable bowel syndrome” followed within a bracket as IBS used in the following part of the document.</w:t>
            </w:r>
          </w:p>
        </w:tc>
        <w:tc>
          <w:tcPr>
            <w:tcW w:w="6456" w:type="dxa"/>
          </w:tcPr>
          <w:p w14:paraId="35328FDA"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 xml:space="preserve">Thank you, we corrected this issue. </w:t>
            </w:r>
          </w:p>
        </w:tc>
      </w:tr>
      <w:tr w:rsidR="00B049CE" w:rsidRPr="00B049CE" w14:paraId="1BB63B1E" w14:textId="77777777" w:rsidTr="0062615B">
        <w:tc>
          <w:tcPr>
            <w:tcW w:w="993" w:type="dxa"/>
            <w:tcMar>
              <w:left w:w="57" w:type="dxa"/>
              <w:right w:w="57" w:type="dxa"/>
            </w:tcMar>
          </w:tcPr>
          <w:p w14:paraId="06473B30"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lang w:eastAsia="zh-CN"/>
              </w:rPr>
              <w:t>P. 8, line 125/144/150</w:t>
            </w:r>
          </w:p>
        </w:tc>
        <w:tc>
          <w:tcPr>
            <w:tcW w:w="7229" w:type="dxa"/>
            <w:tcMar>
              <w:left w:w="57" w:type="dxa"/>
              <w:right w:w="57" w:type="dxa"/>
            </w:tcMar>
          </w:tcPr>
          <w:p w14:paraId="75B64287"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eastAsia="zh-CN"/>
              </w:rPr>
              <w:t>Please check whether the reference cited here accurately reflect the corresponding text (additional reference needed).</w:t>
            </w:r>
          </w:p>
        </w:tc>
        <w:tc>
          <w:tcPr>
            <w:tcW w:w="6456" w:type="dxa"/>
          </w:tcPr>
          <w:p w14:paraId="6C2327AE"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val="de-CH"/>
              </w:rPr>
              <w:t>Thank you, we corrected this issue.</w:t>
            </w:r>
          </w:p>
        </w:tc>
      </w:tr>
      <w:tr w:rsidR="00B049CE" w:rsidRPr="00B049CE" w14:paraId="65213534" w14:textId="77777777" w:rsidTr="0062615B">
        <w:tc>
          <w:tcPr>
            <w:tcW w:w="993" w:type="dxa"/>
            <w:tcMar>
              <w:left w:w="57" w:type="dxa"/>
              <w:right w:w="57" w:type="dxa"/>
            </w:tcMar>
          </w:tcPr>
          <w:p w14:paraId="3906BFF2"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iCs/>
                <w:sz w:val="24"/>
                <w:szCs w:val="24"/>
                <w:lang w:eastAsia="zh-CN"/>
              </w:rPr>
              <w:t>P. 13, line 325</w:t>
            </w:r>
          </w:p>
        </w:tc>
        <w:tc>
          <w:tcPr>
            <w:tcW w:w="7229" w:type="dxa"/>
            <w:tcMar>
              <w:left w:w="57" w:type="dxa"/>
              <w:right w:w="57" w:type="dxa"/>
            </w:tcMar>
          </w:tcPr>
          <w:p w14:paraId="52FE7CC8"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eastAsia="zh-CN"/>
              </w:rPr>
              <w:t>Please check whether the reference cited here accurately reflect the corresponding text.</w:t>
            </w:r>
          </w:p>
        </w:tc>
        <w:tc>
          <w:tcPr>
            <w:tcW w:w="6456" w:type="dxa"/>
          </w:tcPr>
          <w:p w14:paraId="0805E4A5"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val="de-CH"/>
              </w:rPr>
              <w:t>Thank you, we corrected this issue.</w:t>
            </w:r>
          </w:p>
        </w:tc>
      </w:tr>
      <w:tr w:rsidR="00B049CE" w:rsidRPr="00B049CE" w14:paraId="4443A2FB" w14:textId="77777777" w:rsidTr="0062615B">
        <w:tc>
          <w:tcPr>
            <w:tcW w:w="993" w:type="dxa"/>
            <w:tcMar>
              <w:left w:w="57" w:type="dxa"/>
              <w:right w:w="57" w:type="dxa"/>
            </w:tcMar>
          </w:tcPr>
          <w:p w14:paraId="4602EC9F" w14:textId="77777777" w:rsidR="00B049CE" w:rsidRPr="00B049CE" w:rsidRDefault="00B049CE" w:rsidP="00B049CE">
            <w:pPr>
              <w:spacing w:after="0" w:line="240" w:lineRule="auto"/>
              <w:rPr>
                <w:rFonts w:eastAsia="Times New Roman" w:cstheme="minorHAnsi"/>
                <w:iCs/>
                <w:sz w:val="24"/>
                <w:szCs w:val="24"/>
              </w:rPr>
            </w:pPr>
            <w:r w:rsidRPr="00B049CE">
              <w:rPr>
                <w:rFonts w:eastAsia="Times New Roman" w:cstheme="minorHAnsi"/>
                <w:sz w:val="24"/>
                <w:szCs w:val="24"/>
                <w:lang w:val="de-CH"/>
              </w:rPr>
              <w:t>General</w:t>
            </w:r>
          </w:p>
        </w:tc>
        <w:tc>
          <w:tcPr>
            <w:tcW w:w="7229" w:type="dxa"/>
            <w:tcMar>
              <w:left w:w="57" w:type="dxa"/>
              <w:right w:w="57" w:type="dxa"/>
            </w:tcMar>
          </w:tcPr>
          <w:p w14:paraId="793C7CB4"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val="de-CH"/>
              </w:rPr>
              <w:t>Please consider adding “WHAT’S NEW SINCE 2018 GUIDELINES?” to summarize the document snappily and friendly.</w:t>
            </w:r>
          </w:p>
        </w:tc>
        <w:tc>
          <w:tcPr>
            <w:tcW w:w="6456" w:type="dxa"/>
          </w:tcPr>
          <w:p w14:paraId="208909A4"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val="de-CH"/>
              </w:rPr>
              <w:t xml:space="preserve">Thank you for this comment. We, in fact, are considering writing an editorial which will highlight these changes. </w:t>
            </w:r>
          </w:p>
        </w:tc>
      </w:tr>
      <w:tr w:rsidR="00B049CE" w:rsidRPr="00B049CE" w14:paraId="61E06C68" w14:textId="77777777" w:rsidTr="0062615B">
        <w:tc>
          <w:tcPr>
            <w:tcW w:w="14678" w:type="dxa"/>
            <w:gridSpan w:val="3"/>
            <w:shd w:val="clear" w:color="auto" w:fill="BFBFBF" w:themeFill="background1" w:themeFillShade="BF"/>
            <w:tcMar>
              <w:left w:w="57" w:type="dxa"/>
              <w:right w:w="57" w:type="dxa"/>
            </w:tcMar>
          </w:tcPr>
          <w:p w14:paraId="71D05F2E" w14:textId="77777777" w:rsidR="00B049CE" w:rsidRPr="00B049CE" w:rsidRDefault="00B049CE" w:rsidP="00B049CE">
            <w:pPr>
              <w:spacing w:after="0" w:line="240" w:lineRule="auto"/>
              <w:rPr>
                <w:rFonts w:eastAsia="Times New Roman" w:cstheme="minorHAnsi"/>
                <w:b/>
                <w:bCs/>
                <w:sz w:val="24"/>
                <w:szCs w:val="24"/>
              </w:rPr>
            </w:pPr>
            <w:r w:rsidRPr="00B049CE">
              <w:rPr>
                <w:rFonts w:eastAsia="Times New Roman" w:cstheme="minorHAnsi"/>
                <w:b/>
                <w:bCs/>
                <w:sz w:val="24"/>
                <w:szCs w:val="24"/>
              </w:rPr>
              <w:t>CSSC member, BSG</w:t>
            </w:r>
          </w:p>
        </w:tc>
      </w:tr>
      <w:tr w:rsidR="00B049CE" w:rsidRPr="00B049CE" w14:paraId="2C9D5A2D" w14:textId="77777777" w:rsidTr="0062615B">
        <w:tc>
          <w:tcPr>
            <w:tcW w:w="993" w:type="dxa"/>
            <w:tcMar>
              <w:left w:w="57" w:type="dxa"/>
              <w:right w:w="57" w:type="dxa"/>
            </w:tcMar>
          </w:tcPr>
          <w:p w14:paraId="79ABC5FE" w14:textId="77777777" w:rsidR="00B049CE" w:rsidRPr="00B049CE" w:rsidRDefault="00B049CE" w:rsidP="00B049CE">
            <w:pPr>
              <w:spacing w:after="0" w:line="240" w:lineRule="auto"/>
              <w:rPr>
                <w:rFonts w:eastAsia="Times New Roman" w:cstheme="minorHAnsi"/>
                <w:sz w:val="24"/>
                <w:szCs w:val="24"/>
                <w:lang w:val="de-CH"/>
              </w:rPr>
            </w:pPr>
          </w:p>
        </w:tc>
        <w:tc>
          <w:tcPr>
            <w:tcW w:w="7229" w:type="dxa"/>
            <w:tcMar>
              <w:left w:w="57" w:type="dxa"/>
              <w:right w:w="57" w:type="dxa"/>
            </w:tcMar>
          </w:tcPr>
          <w:p w14:paraId="4DD796E9"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A very well written guideline. Excellent, detailed work written in a very clear and systematic way.</w:t>
            </w:r>
          </w:p>
          <w:p w14:paraId="62C54960"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rPr>
              <w:t>No concerns</w:t>
            </w:r>
          </w:p>
        </w:tc>
        <w:tc>
          <w:tcPr>
            <w:tcW w:w="6456" w:type="dxa"/>
          </w:tcPr>
          <w:p w14:paraId="459CD4D2"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val="de-CH"/>
              </w:rPr>
              <w:t>Thank you for your kind comments.</w:t>
            </w:r>
          </w:p>
        </w:tc>
      </w:tr>
      <w:tr w:rsidR="00B049CE" w:rsidRPr="00B049CE" w14:paraId="306CDFE2" w14:textId="77777777" w:rsidTr="0062615B">
        <w:tc>
          <w:tcPr>
            <w:tcW w:w="14678" w:type="dxa"/>
            <w:gridSpan w:val="3"/>
            <w:shd w:val="clear" w:color="auto" w:fill="BFBFBF" w:themeFill="background1" w:themeFillShade="BF"/>
            <w:tcMar>
              <w:left w:w="57" w:type="dxa"/>
              <w:right w:w="57" w:type="dxa"/>
            </w:tcMar>
          </w:tcPr>
          <w:p w14:paraId="2B993AAE" w14:textId="77777777" w:rsidR="00B049CE" w:rsidRPr="00B049CE" w:rsidRDefault="00B049CE" w:rsidP="00B049CE">
            <w:pPr>
              <w:spacing w:after="0" w:line="240" w:lineRule="auto"/>
              <w:rPr>
                <w:rFonts w:eastAsia="Times New Roman" w:cstheme="minorHAnsi"/>
                <w:b/>
                <w:bCs/>
                <w:sz w:val="24"/>
                <w:szCs w:val="24"/>
              </w:rPr>
            </w:pPr>
            <w:r w:rsidRPr="00B049CE">
              <w:rPr>
                <w:rFonts w:eastAsia="Times New Roman" w:cstheme="minorHAnsi"/>
                <w:b/>
                <w:bCs/>
                <w:sz w:val="24"/>
                <w:szCs w:val="24"/>
              </w:rPr>
              <w:t>IBD Section Member, BSG</w:t>
            </w:r>
          </w:p>
        </w:tc>
      </w:tr>
      <w:tr w:rsidR="00B049CE" w:rsidRPr="00B049CE" w14:paraId="5EB0C9CF" w14:textId="77777777" w:rsidTr="0062615B">
        <w:tc>
          <w:tcPr>
            <w:tcW w:w="993" w:type="dxa"/>
            <w:tcMar>
              <w:left w:w="57" w:type="dxa"/>
              <w:right w:w="57" w:type="dxa"/>
            </w:tcMar>
          </w:tcPr>
          <w:p w14:paraId="5BD59D31" w14:textId="77777777" w:rsidR="00B049CE" w:rsidRPr="00B049CE" w:rsidRDefault="00B049CE" w:rsidP="00B049CE">
            <w:pPr>
              <w:spacing w:after="0" w:line="240" w:lineRule="auto"/>
              <w:rPr>
                <w:rFonts w:eastAsia="Times New Roman" w:cstheme="minorHAnsi"/>
                <w:sz w:val="24"/>
                <w:szCs w:val="24"/>
                <w:lang w:val="de-CH"/>
              </w:rPr>
            </w:pPr>
          </w:p>
        </w:tc>
        <w:tc>
          <w:tcPr>
            <w:tcW w:w="7229" w:type="dxa"/>
            <w:tcMar>
              <w:left w:w="57" w:type="dxa"/>
              <w:right w:w="57" w:type="dxa"/>
            </w:tcMar>
          </w:tcPr>
          <w:p w14:paraId="2CFC5491"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color w:val="000000"/>
                <w:sz w:val="24"/>
                <w:szCs w:val="24"/>
              </w:rPr>
              <w:t>no comments from me. I'm happy</w:t>
            </w:r>
          </w:p>
        </w:tc>
        <w:tc>
          <w:tcPr>
            <w:tcW w:w="6456" w:type="dxa"/>
          </w:tcPr>
          <w:p w14:paraId="67450A80"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val="de-CH"/>
              </w:rPr>
              <w:t>Thank you for your kind comments.</w:t>
            </w:r>
          </w:p>
        </w:tc>
      </w:tr>
      <w:tr w:rsidR="00B049CE" w:rsidRPr="00B049CE" w14:paraId="51BB4043" w14:textId="77777777" w:rsidTr="0062615B">
        <w:tc>
          <w:tcPr>
            <w:tcW w:w="14678" w:type="dxa"/>
            <w:gridSpan w:val="3"/>
            <w:shd w:val="clear" w:color="auto" w:fill="BFBFBF" w:themeFill="background1" w:themeFillShade="BF"/>
            <w:tcMar>
              <w:left w:w="57" w:type="dxa"/>
              <w:right w:w="57" w:type="dxa"/>
            </w:tcMar>
          </w:tcPr>
          <w:p w14:paraId="3F3AE6F6" w14:textId="77777777" w:rsidR="00B049CE" w:rsidRPr="00B049CE" w:rsidRDefault="00B049CE" w:rsidP="00B049CE">
            <w:pPr>
              <w:spacing w:after="0" w:line="240" w:lineRule="auto"/>
              <w:rPr>
                <w:rFonts w:eastAsia="Times New Roman" w:cstheme="minorHAnsi"/>
                <w:b/>
                <w:bCs/>
                <w:sz w:val="24"/>
                <w:szCs w:val="24"/>
              </w:rPr>
            </w:pPr>
            <w:r w:rsidRPr="00B049CE">
              <w:rPr>
                <w:rFonts w:eastAsia="Times New Roman" w:cstheme="minorHAnsi"/>
                <w:b/>
                <w:bCs/>
                <w:sz w:val="24"/>
                <w:szCs w:val="24"/>
              </w:rPr>
              <w:t>CSSC member, BSG</w:t>
            </w:r>
          </w:p>
        </w:tc>
      </w:tr>
      <w:tr w:rsidR="00B049CE" w:rsidRPr="00B049CE" w14:paraId="6336BEB5" w14:textId="77777777" w:rsidTr="0062615B">
        <w:tc>
          <w:tcPr>
            <w:tcW w:w="993" w:type="dxa"/>
            <w:tcMar>
              <w:left w:w="57" w:type="dxa"/>
              <w:right w:w="57" w:type="dxa"/>
            </w:tcMar>
          </w:tcPr>
          <w:p w14:paraId="179D1C77" w14:textId="77777777" w:rsidR="00B049CE" w:rsidRPr="00B049CE" w:rsidRDefault="00B049CE" w:rsidP="00B049CE">
            <w:pPr>
              <w:spacing w:after="0" w:line="240" w:lineRule="auto"/>
              <w:rPr>
                <w:rFonts w:eastAsia="Times New Roman" w:cstheme="minorHAnsi"/>
                <w:sz w:val="24"/>
                <w:szCs w:val="24"/>
                <w:lang w:val="de-CH"/>
              </w:rPr>
            </w:pPr>
          </w:p>
        </w:tc>
        <w:tc>
          <w:tcPr>
            <w:tcW w:w="7229" w:type="dxa"/>
            <w:tcMar>
              <w:left w:w="57" w:type="dxa"/>
              <w:right w:w="57" w:type="dxa"/>
            </w:tcMar>
          </w:tcPr>
          <w:p w14:paraId="0159B7B5" w14:textId="77777777" w:rsidR="00B049CE" w:rsidRPr="00B049CE" w:rsidRDefault="00B049CE" w:rsidP="00B049CE">
            <w:pPr>
              <w:spacing w:after="0" w:line="240" w:lineRule="auto"/>
              <w:rPr>
                <w:rFonts w:eastAsia="Times New Roman" w:cstheme="minorHAnsi"/>
                <w:sz w:val="24"/>
                <w:szCs w:val="24"/>
              </w:rPr>
            </w:pPr>
            <w:r w:rsidRPr="00B049CE">
              <w:rPr>
                <w:rFonts w:eastAsia="Times New Roman" w:cstheme="minorHAnsi"/>
                <w:sz w:val="24"/>
                <w:szCs w:val="24"/>
              </w:rPr>
              <w:t>Very comprehensive and well written guideline. It would be very helpful if the GRADE rating for each recommendation was clearly visible.</w:t>
            </w:r>
          </w:p>
          <w:p w14:paraId="69E95040" w14:textId="77777777" w:rsidR="00B049CE" w:rsidRPr="00B049CE" w:rsidRDefault="00B049CE" w:rsidP="00B049CE">
            <w:pPr>
              <w:spacing w:after="0" w:line="240" w:lineRule="auto"/>
              <w:rPr>
                <w:rFonts w:eastAsia="Times New Roman" w:cstheme="minorHAnsi"/>
                <w:sz w:val="24"/>
                <w:szCs w:val="24"/>
                <w:lang w:val="de-CH"/>
              </w:rPr>
            </w:pPr>
          </w:p>
        </w:tc>
        <w:tc>
          <w:tcPr>
            <w:tcW w:w="6456" w:type="dxa"/>
          </w:tcPr>
          <w:p w14:paraId="36B89B9E" w14:textId="77777777" w:rsidR="00B049CE" w:rsidRPr="00B049CE" w:rsidRDefault="00B049CE" w:rsidP="00B049CE">
            <w:pPr>
              <w:spacing w:after="0" w:line="240" w:lineRule="auto"/>
              <w:rPr>
                <w:rFonts w:eastAsia="Times New Roman" w:cstheme="minorHAnsi"/>
                <w:sz w:val="24"/>
                <w:szCs w:val="24"/>
                <w:lang w:val="de-CH"/>
              </w:rPr>
            </w:pPr>
            <w:r w:rsidRPr="00B049CE">
              <w:rPr>
                <w:rFonts w:eastAsia="Times New Roman" w:cstheme="minorHAnsi"/>
                <w:sz w:val="24"/>
                <w:szCs w:val="24"/>
                <w:lang w:val="de-CH"/>
              </w:rPr>
              <w:t>Thank you for your kind comments.</w:t>
            </w:r>
          </w:p>
        </w:tc>
      </w:tr>
      <w:tr w:rsidR="00B049CE" w:rsidRPr="00B049CE" w14:paraId="7E32EA19" w14:textId="77777777" w:rsidTr="0062615B">
        <w:tc>
          <w:tcPr>
            <w:tcW w:w="14678" w:type="dxa"/>
            <w:gridSpan w:val="3"/>
            <w:shd w:val="clear" w:color="auto" w:fill="BFBFBF" w:themeFill="background1" w:themeFillShade="BF"/>
            <w:tcMar>
              <w:left w:w="57" w:type="dxa"/>
              <w:right w:w="57" w:type="dxa"/>
            </w:tcMar>
          </w:tcPr>
          <w:p w14:paraId="463F1C71" w14:textId="77777777" w:rsidR="00B049CE" w:rsidRPr="00B049CE" w:rsidRDefault="00B049CE" w:rsidP="00B049CE">
            <w:pPr>
              <w:spacing w:after="0" w:line="240" w:lineRule="auto"/>
              <w:rPr>
                <w:rFonts w:eastAsia="Times New Roman" w:cstheme="minorHAnsi"/>
                <w:b/>
                <w:bCs/>
                <w:sz w:val="24"/>
                <w:szCs w:val="24"/>
              </w:rPr>
            </w:pPr>
            <w:r w:rsidRPr="00B049CE">
              <w:rPr>
                <w:rFonts w:eastAsia="Times New Roman" w:cstheme="minorHAnsi"/>
                <w:b/>
                <w:bCs/>
                <w:sz w:val="24"/>
                <w:szCs w:val="24"/>
              </w:rPr>
              <w:t xml:space="preserve">Shanom Ali, UCLH, UK, HIS </w:t>
            </w:r>
          </w:p>
        </w:tc>
      </w:tr>
      <w:tr w:rsidR="00B049CE" w:rsidRPr="00B049CE" w14:paraId="3EC5AB85" w14:textId="77777777" w:rsidTr="0062615B">
        <w:tc>
          <w:tcPr>
            <w:tcW w:w="993" w:type="dxa"/>
            <w:tcMar>
              <w:left w:w="57" w:type="dxa"/>
              <w:right w:w="57" w:type="dxa"/>
            </w:tcMar>
          </w:tcPr>
          <w:p w14:paraId="024BB321" w14:textId="77777777" w:rsidR="00B049CE" w:rsidRPr="00B049CE" w:rsidRDefault="00B049CE" w:rsidP="00B049CE">
            <w:pPr>
              <w:spacing w:after="0" w:line="240" w:lineRule="auto"/>
              <w:rPr>
                <w:rFonts w:eastAsia="Times New Roman" w:cstheme="minorHAnsi"/>
                <w:sz w:val="24"/>
                <w:szCs w:val="24"/>
                <w:lang w:val="de-CH"/>
              </w:rPr>
            </w:pPr>
            <w:r w:rsidRPr="00B049CE">
              <w:rPr>
                <w:rFonts w:ascii="Calibri" w:eastAsia="Times New Roman" w:hAnsi="Calibri" w:cs="Calibri"/>
                <w:iCs/>
              </w:rPr>
              <w:t xml:space="preserve">4.4 </w:t>
            </w:r>
          </w:p>
        </w:tc>
        <w:tc>
          <w:tcPr>
            <w:tcW w:w="7229" w:type="dxa"/>
            <w:tcMar>
              <w:left w:w="57" w:type="dxa"/>
              <w:right w:w="57" w:type="dxa"/>
            </w:tcMar>
          </w:tcPr>
          <w:p w14:paraId="2D2397C9" w14:textId="77777777" w:rsidR="00B049CE" w:rsidRPr="00B049CE" w:rsidRDefault="00B049CE" w:rsidP="00B049CE">
            <w:pPr>
              <w:spacing w:after="0" w:line="240" w:lineRule="auto"/>
              <w:rPr>
                <w:rFonts w:ascii="Calibri" w:eastAsia="Times New Roman" w:hAnsi="Calibri" w:cs="Calibri"/>
              </w:rPr>
            </w:pPr>
            <w:r w:rsidRPr="00B049CE">
              <w:rPr>
                <w:rFonts w:ascii="Calibri" w:eastAsia="Times New Roman" w:hAnsi="Calibri" w:cs="Calibri"/>
              </w:rPr>
              <w:t xml:space="preserve">Considerations / Good practice for faecal acquisition, storage and preparation. </w:t>
            </w:r>
          </w:p>
          <w:p w14:paraId="4982C699" w14:textId="77777777" w:rsidR="00B049CE" w:rsidRPr="00B049CE" w:rsidRDefault="00B049CE" w:rsidP="00B049CE">
            <w:pPr>
              <w:spacing w:after="0" w:line="240" w:lineRule="auto"/>
              <w:rPr>
                <w:rFonts w:ascii="Calibri" w:eastAsia="Times New Roman" w:hAnsi="Calibri" w:cs="Calibri"/>
              </w:rPr>
            </w:pPr>
            <w:r w:rsidRPr="00B049CE">
              <w:rPr>
                <w:rFonts w:ascii="Calibri" w:eastAsia="Times New Roman" w:hAnsi="Calibri" w:cs="Calibri"/>
              </w:rPr>
              <w:t xml:space="preserve">The volume of cryoprotectant should be proportional to the mass of faecal same to assure consistency in practice. An expected </w:t>
            </w:r>
            <w:proofErr w:type="spellStart"/>
            <w:r w:rsidRPr="00B049CE">
              <w:rPr>
                <w:rFonts w:ascii="Calibri" w:eastAsia="Times New Roman" w:hAnsi="Calibri" w:cs="Calibri"/>
              </w:rPr>
              <w:t>cryopreservant</w:t>
            </w:r>
            <w:proofErr w:type="spellEnd"/>
            <w:r w:rsidRPr="00B049CE">
              <w:rPr>
                <w:rFonts w:ascii="Calibri" w:eastAsia="Times New Roman" w:hAnsi="Calibri" w:cs="Calibri"/>
              </w:rPr>
              <w:t xml:space="preserve"> range </w:t>
            </w:r>
            <w:r w:rsidRPr="00B049CE">
              <w:rPr>
                <w:rFonts w:ascii="Calibri" w:eastAsia="Times New Roman" w:hAnsi="Calibri" w:cs="Calibri"/>
              </w:rPr>
              <w:lastRenderedPageBreak/>
              <w:t xml:space="preserve">should be proposed. For general microbiology applications 10-15% is used. For ease of calculation 10% is practical. </w:t>
            </w:r>
          </w:p>
          <w:p w14:paraId="3909BE7D" w14:textId="77777777" w:rsidR="00B049CE" w:rsidRPr="00B049CE" w:rsidRDefault="00B049CE" w:rsidP="00B049CE">
            <w:pPr>
              <w:spacing w:after="0" w:line="240" w:lineRule="auto"/>
              <w:rPr>
                <w:rFonts w:ascii="Calibri" w:eastAsia="Times New Roman" w:hAnsi="Calibri" w:cs="Calibri"/>
              </w:rPr>
            </w:pPr>
            <w:r w:rsidRPr="00B049CE">
              <w:rPr>
                <w:rFonts w:ascii="Calibri" w:eastAsia="Times New Roman" w:hAnsi="Calibri" w:cs="Calibri"/>
              </w:rPr>
              <w:t xml:space="preserve"> E.g. if aiming for a 50g stool, the volume of glycerol would by 5mL.</w:t>
            </w:r>
          </w:p>
        </w:tc>
        <w:tc>
          <w:tcPr>
            <w:tcW w:w="6456" w:type="dxa"/>
          </w:tcPr>
          <w:p w14:paraId="45DD9242" w14:textId="77777777" w:rsidR="00B049CE" w:rsidRPr="00B049CE" w:rsidRDefault="00B049CE" w:rsidP="00B049CE">
            <w:pPr>
              <w:spacing w:after="0" w:line="240" w:lineRule="auto"/>
              <w:rPr>
                <w:rFonts w:eastAsia="Times New Roman" w:cstheme="minorHAnsi"/>
                <w:lang w:val="de-CH"/>
              </w:rPr>
            </w:pPr>
            <w:r w:rsidRPr="00B049CE">
              <w:rPr>
                <w:rFonts w:eastAsia="Times New Roman" w:cstheme="minorHAnsi"/>
                <w:lang w:val="de-CH"/>
              </w:rPr>
              <w:lastRenderedPageBreak/>
              <w:t xml:space="preserve">Thank you, agree that 10-15% needs to be stated. However, we think that this is not the same as 5ml of 100% glycerol per 50g of stool, as this does not account for the volume of diluent used in making a </w:t>
            </w:r>
            <w:r w:rsidRPr="00B049CE">
              <w:rPr>
                <w:rFonts w:eastAsia="Times New Roman" w:cstheme="minorHAnsi"/>
                <w:lang w:val="de-CH"/>
              </w:rPr>
              <w:lastRenderedPageBreak/>
              <w:t>faecal slurry. This should be 10-15% of the final slurry and we added this as a GPP 4.8.</w:t>
            </w:r>
          </w:p>
          <w:p w14:paraId="6040C770" w14:textId="77777777" w:rsidR="00B049CE" w:rsidRPr="00B049CE" w:rsidRDefault="00B049CE" w:rsidP="00B049CE">
            <w:pPr>
              <w:spacing w:after="0" w:line="240" w:lineRule="auto"/>
              <w:rPr>
                <w:rFonts w:eastAsia="Times New Roman" w:cstheme="minorHAnsi"/>
                <w:lang w:val="de-CH"/>
              </w:rPr>
            </w:pPr>
          </w:p>
          <w:p w14:paraId="30300F3F" w14:textId="77777777" w:rsidR="00B049CE" w:rsidRPr="00B049CE" w:rsidRDefault="00B049CE" w:rsidP="00B049CE">
            <w:pPr>
              <w:spacing w:after="0" w:line="240" w:lineRule="auto"/>
              <w:rPr>
                <w:rFonts w:eastAsia="Times New Roman" w:cstheme="minorHAnsi"/>
                <w:lang w:val="de-CH"/>
              </w:rPr>
            </w:pPr>
            <w:r w:rsidRPr="00B049CE">
              <w:rPr>
                <w:rFonts w:eastAsia="Times New Roman" w:cstheme="minorHAnsi"/>
                <w:lang w:val="de-CH"/>
              </w:rPr>
              <w:t>GPP 4.8: Where glycerol is used as a cryopreservative, ensure it is at 10-15% final concentration of the prepared faecal material/slurry, with vortexing or other methods used to fully mix the cryopreservative into the material.</w:t>
            </w:r>
          </w:p>
        </w:tc>
      </w:tr>
      <w:tr w:rsidR="00B049CE" w:rsidRPr="00B049CE" w14:paraId="271BAFF0" w14:textId="77777777" w:rsidTr="0062615B">
        <w:tc>
          <w:tcPr>
            <w:tcW w:w="993" w:type="dxa"/>
            <w:tcMar>
              <w:left w:w="57" w:type="dxa"/>
              <w:right w:w="57" w:type="dxa"/>
            </w:tcMar>
          </w:tcPr>
          <w:p w14:paraId="4051D9AB" w14:textId="77777777" w:rsidR="00B049CE" w:rsidRPr="00B049CE" w:rsidRDefault="00B049CE" w:rsidP="00B049CE">
            <w:pPr>
              <w:spacing w:after="0" w:line="240" w:lineRule="auto"/>
              <w:rPr>
                <w:rFonts w:eastAsia="Times New Roman" w:cstheme="minorHAnsi"/>
                <w:sz w:val="24"/>
                <w:szCs w:val="24"/>
                <w:lang w:val="de-CH"/>
              </w:rPr>
            </w:pPr>
            <w:r w:rsidRPr="00B049CE">
              <w:rPr>
                <w:rFonts w:ascii="Calibri" w:eastAsia="Times New Roman" w:hAnsi="Calibri" w:cs="Calibri"/>
                <w:iCs/>
              </w:rPr>
              <w:lastRenderedPageBreak/>
              <w:t xml:space="preserve">4.4 </w:t>
            </w:r>
          </w:p>
        </w:tc>
        <w:tc>
          <w:tcPr>
            <w:tcW w:w="7229" w:type="dxa"/>
            <w:tcMar>
              <w:left w:w="57" w:type="dxa"/>
              <w:right w:w="57" w:type="dxa"/>
            </w:tcMar>
          </w:tcPr>
          <w:p w14:paraId="1F18527C" w14:textId="77777777" w:rsidR="00B049CE" w:rsidRPr="00B049CE" w:rsidRDefault="00B049CE" w:rsidP="00B049CE">
            <w:pPr>
              <w:spacing w:after="0" w:line="240" w:lineRule="auto"/>
              <w:rPr>
                <w:rFonts w:ascii="Calibri" w:eastAsia="Times New Roman" w:hAnsi="Calibri" w:cs="Calibri"/>
              </w:rPr>
            </w:pPr>
            <w:r w:rsidRPr="00B049CE">
              <w:rPr>
                <w:rFonts w:ascii="Calibri" w:eastAsia="Times New Roman" w:hAnsi="Calibri" w:cs="Calibri"/>
              </w:rPr>
              <w:t>Since the water content can cause bacterial decay upon freezing, effort to assure the cryoprotectant is mixed into the faecal sample. This will assure the bacterial diversity is protected/maintained as much as possible.</w:t>
            </w:r>
          </w:p>
          <w:p w14:paraId="03211EF7" w14:textId="77777777" w:rsidR="00B049CE" w:rsidRPr="00B049CE" w:rsidRDefault="00B049CE" w:rsidP="00B049CE">
            <w:pPr>
              <w:spacing w:after="0" w:line="240" w:lineRule="auto"/>
              <w:rPr>
                <w:rFonts w:eastAsia="Times New Roman" w:cstheme="minorHAnsi"/>
                <w:sz w:val="24"/>
                <w:szCs w:val="24"/>
                <w:lang w:val="de-CH"/>
              </w:rPr>
            </w:pPr>
          </w:p>
        </w:tc>
        <w:tc>
          <w:tcPr>
            <w:tcW w:w="6456" w:type="dxa"/>
          </w:tcPr>
          <w:p w14:paraId="28AD9AE3" w14:textId="77777777" w:rsidR="00B049CE" w:rsidRPr="00B049CE" w:rsidRDefault="00B049CE" w:rsidP="00B049CE">
            <w:pPr>
              <w:spacing w:after="0" w:line="240" w:lineRule="auto"/>
              <w:rPr>
                <w:rFonts w:eastAsia="Times New Roman" w:cstheme="minorHAnsi"/>
                <w:lang w:val="de-CH"/>
              </w:rPr>
            </w:pPr>
            <w:r w:rsidRPr="00B049CE">
              <w:rPr>
                <w:rFonts w:eastAsia="Times New Roman" w:cstheme="minorHAnsi"/>
                <w:lang w:val="de-CH"/>
              </w:rPr>
              <w:t xml:space="preserve">Thank you, this comment is now addressed in GPP 4.8 </w:t>
            </w:r>
          </w:p>
        </w:tc>
      </w:tr>
      <w:tr w:rsidR="00B049CE" w:rsidRPr="00B049CE" w14:paraId="0534234F" w14:textId="77777777" w:rsidTr="0062615B">
        <w:tc>
          <w:tcPr>
            <w:tcW w:w="993" w:type="dxa"/>
            <w:tcMar>
              <w:left w:w="57" w:type="dxa"/>
              <w:right w:w="57" w:type="dxa"/>
            </w:tcMar>
          </w:tcPr>
          <w:p w14:paraId="6C3960E1" w14:textId="77777777" w:rsidR="00B049CE" w:rsidRPr="00B049CE" w:rsidRDefault="00B049CE" w:rsidP="00B049CE">
            <w:pPr>
              <w:spacing w:after="0" w:line="240" w:lineRule="auto"/>
              <w:rPr>
                <w:rFonts w:eastAsia="Times New Roman" w:cstheme="minorHAnsi"/>
                <w:sz w:val="24"/>
                <w:szCs w:val="24"/>
                <w:lang w:val="de-CH"/>
              </w:rPr>
            </w:pPr>
            <w:r w:rsidRPr="00B049CE">
              <w:rPr>
                <w:rFonts w:ascii="Calibri" w:eastAsia="Times New Roman" w:hAnsi="Calibri" w:cs="Calibri"/>
                <w:iCs/>
              </w:rPr>
              <w:t xml:space="preserve">4.4 </w:t>
            </w:r>
          </w:p>
        </w:tc>
        <w:tc>
          <w:tcPr>
            <w:tcW w:w="7229" w:type="dxa"/>
            <w:tcMar>
              <w:left w:w="57" w:type="dxa"/>
              <w:right w:w="57" w:type="dxa"/>
            </w:tcMar>
          </w:tcPr>
          <w:p w14:paraId="704677A5" w14:textId="77777777" w:rsidR="00B049CE" w:rsidRPr="00B049CE" w:rsidRDefault="00B049CE" w:rsidP="00B049CE">
            <w:pPr>
              <w:spacing w:after="0" w:line="240" w:lineRule="auto"/>
              <w:rPr>
                <w:rFonts w:ascii="Calibri" w:eastAsia="Times New Roman" w:hAnsi="Calibri" w:cs="Calibri"/>
              </w:rPr>
            </w:pPr>
            <w:r w:rsidRPr="00B049CE">
              <w:rPr>
                <w:rFonts w:ascii="Calibri" w:eastAsia="Times New Roman" w:hAnsi="Calibri" w:cs="Calibri"/>
              </w:rPr>
              <w:t>When collecting faecal samples, efforts to remove as much water should be considered. E.g. by placing onto filter paper. This will help with the cryopreservation stage.</w:t>
            </w:r>
          </w:p>
          <w:p w14:paraId="5A68E1F6" w14:textId="77777777" w:rsidR="00B049CE" w:rsidRPr="00B049CE" w:rsidRDefault="00B049CE" w:rsidP="00B049CE">
            <w:pPr>
              <w:spacing w:after="0" w:line="240" w:lineRule="auto"/>
              <w:rPr>
                <w:rFonts w:ascii="Calibri" w:eastAsia="Times New Roman" w:hAnsi="Calibri" w:cs="Calibri"/>
              </w:rPr>
            </w:pPr>
          </w:p>
          <w:p w14:paraId="04B17F4D" w14:textId="77777777" w:rsidR="00B049CE" w:rsidRPr="00B049CE" w:rsidRDefault="00B049CE" w:rsidP="00B049CE">
            <w:pPr>
              <w:spacing w:after="0" w:line="240" w:lineRule="auto"/>
              <w:rPr>
                <w:rFonts w:eastAsia="Times New Roman" w:cstheme="minorHAnsi"/>
                <w:sz w:val="24"/>
                <w:szCs w:val="24"/>
                <w:lang w:val="de-CH"/>
              </w:rPr>
            </w:pPr>
          </w:p>
        </w:tc>
        <w:tc>
          <w:tcPr>
            <w:tcW w:w="6456" w:type="dxa"/>
          </w:tcPr>
          <w:p w14:paraId="286D53CA" w14:textId="77777777" w:rsidR="00B049CE" w:rsidRPr="00B049CE" w:rsidRDefault="00B049CE" w:rsidP="00B049CE">
            <w:pPr>
              <w:spacing w:after="0" w:line="240" w:lineRule="auto"/>
              <w:rPr>
                <w:rFonts w:eastAsia="Times New Roman" w:cstheme="minorHAnsi"/>
                <w:lang w:val="de-CH"/>
              </w:rPr>
            </w:pPr>
            <w:r w:rsidRPr="00B049CE">
              <w:rPr>
                <w:rFonts w:eastAsia="Times New Roman" w:cstheme="minorHAnsi"/>
                <w:lang w:val="de-CH"/>
              </w:rPr>
              <w:t xml:space="preserve">Thank you for your comment. We do not think this is necessary as this is not currently established in clinical practice and it would add another step to processing (extending the processing time) and increase the risk of contamination. </w:t>
            </w:r>
          </w:p>
        </w:tc>
      </w:tr>
      <w:tr w:rsidR="00B049CE" w:rsidRPr="00B049CE" w14:paraId="131A8849" w14:textId="77777777" w:rsidTr="0062615B">
        <w:tc>
          <w:tcPr>
            <w:tcW w:w="993" w:type="dxa"/>
            <w:shd w:val="clear" w:color="auto" w:fill="auto"/>
            <w:tcMar>
              <w:left w:w="57" w:type="dxa"/>
              <w:right w:w="57" w:type="dxa"/>
            </w:tcMar>
          </w:tcPr>
          <w:p w14:paraId="3C3B46A5" w14:textId="77777777" w:rsidR="00B049CE" w:rsidRPr="00B049CE" w:rsidRDefault="00B049CE" w:rsidP="00B049CE">
            <w:pPr>
              <w:spacing w:after="0" w:line="240" w:lineRule="auto"/>
              <w:rPr>
                <w:rFonts w:eastAsia="Times New Roman" w:cstheme="minorHAnsi"/>
                <w:sz w:val="24"/>
                <w:szCs w:val="24"/>
                <w:lang w:val="de-CH"/>
              </w:rPr>
            </w:pPr>
            <w:r w:rsidRPr="00B049CE">
              <w:rPr>
                <w:rFonts w:ascii="Calibri" w:eastAsia="Times New Roman" w:hAnsi="Calibri" w:cs="Calibri"/>
                <w:iCs/>
              </w:rPr>
              <w:t xml:space="preserve">4.4 </w:t>
            </w:r>
          </w:p>
        </w:tc>
        <w:tc>
          <w:tcPr>
            <w:tcW w:w="7229" w:type="dxa"/>
            <w:shd w:val="clear" w:color="auto" w:fill="auto"/>
            <w:tcMar>
              <w:left w:w="57" w:type="dxa"/>
              <w:right w:w="57" w:type="dxa"/>
            </w:tcMar>
          </w:tcPr>
          <w:p w14:paraId="49120394" w14:textId="77777777" w:rsidR="00B049CE" w:rsidRPr="00B049CE" w:rsidRDefault="00B049CE" w:rsidP="00B049CE">
            <w:pPr>
              <w:spacing w:after="0" w:line="240" w:lineRule="auto"/>
              <w:rPr>
                <w:rFonts w:eastAsia="Times New Roman" w:cstheme="minorHAnsi"/>
                <w:sz w:val="24"/>
                <w:szCs w:val="24"/>
                <w:lang w:val="de-CH"/>
              </w:rPr>
            </w:pPr>
            <w:r w:rsidRPr="00B049CE">
              <w:rPr>
                <w:rFonts w:ascii="Calibri" w:eastAsia="Times New Roman" w:hAnsi="Calibri" w:cs="Calibri"/>
              </w:rPr>
              <w:t>When thawing samples, the temperature difference from -80oC to ambient (#25oC) is a 105oC temperature fluctuation and will cause stress on the bacterial diversity and recovery. This could be eased by initial thawing at refrigeration temperatures before final thaw at room temperature, prior to delivery. Done in this way, samples could remain in a fridge for most part of the process and require only minimal (~10-15 minutes) at ambient.</w:t>
            </w:r>
          </w:p>
        </w:tc>
        <w:tc>
          <w:tcPr>
            <w:tcW w:w="6456" w:type="dxa"/>
            <w:shd w:val="clear" w:color="auto" w:fill="auto"/>
          </w:tcPr>
          <w:p w14:paraId="53202439" w14:textId="77777777" w:rsidR="00B049CE" w:rsidRPr="00B049CE" w:rsidRDefault="00B049CE" w:rsidP="00B049CE">
            <w:pPr>
              <w:spacing w:after="0" w:line="240" w:lineRule="auto"/>
              <w:rPr>
                <w:rFonts w:eastAsia="Times New Roman" w:cstheme="minorHAnsi"/>
                <w:lang w:val="de-CH"/>
              </w:rPr>
            </w:pPr>
            <w:r w:rsidRPr="00B049CE">
              <w:rPr>
                <w:rFonts w:eastAsia="Times New Roman" w:cstheme="minorHAnsi"/>
                <w:lang w:val="de-CH"/>
              </w:rPr>
              <w:t xml:space="preserve">Thank you for your comment. We are not aware of any data which suggest that this is a problem. Clinically, we know that the practice of leaving the samples at ambient temperature is still effective and it is practical. We think that leaving the samples refrigirated for a prolonged period of time may be more detimental to bacterial viability.  </w:t>
            </w:r>
          </w:p>
        </w:tc>
      </w:tr>
      <w:tr w:rsidR="00B049CE" w:rsidRPr="00B049CE" w14:paraId="46E4985B" w14:textId="77777777" w:rsidTr="0062615B">
        <w:tc>
          <w:tcPr>
            <w:tcW w:w="993" w:type="dxa"/>
            <w:shd w:val="clear" w:color="auto" w:fill="auto"/>
            <w:tcMar>
              <w:left w:w="57" w:type="dxa"/>
              <w:right w:w="57" w:type="dxa"/>
            </w:tcMar>
          </w:tcPr>
          <w:p w14:paraId="7BEB095F" w14:textId="77777777" w:rsidR="00B049CE" w:rsidRPr="00B049CE" w:rsidRDefault="00B049CE" w:rsidP="00B049CE">
            <w:pPr>
              <w:spacing w:after="0" w:line="240" w:lineRule="auto"/>
              <w:rPr>
                <w:rFonts w:eastAsia="Times New Roman" w:cstheme="minorHAnsi"/>
                <w:sz w:val="24"/>
                <w:szCs w:val="24"/>
                <w:lang w:val="de-CH"/>
              </w:rPr>
            </w:pPr>
            <w:r w:rsidRPr="00B049CE">
              <w:rPr>
                <w:rFonts w:ascii="Calibri" w:eastAsia="Times New Roman" w:hAnsi="Calibri" w:cs="Calibri"/>
                <w:iCs/>
              </w:rPr>
              <w:t>General</w:t>
            </w:r>
          </w:p>
        </w:tc>
        <w:tc>
          <w:tcPr>
            <w:tcW w:w="7229" w:type="dxa"/>
            <w:shd w:val="clear" w:color="auto" w:fill="auto"/>
            <w:tcMar>
              <w:left w:w="57" w:type="dxa"/>
              <w:right w:w="57" w:type="dxa"/>
            </w:tcMar>
          </w:tcPr>
          <w:p w14:paraId="02D36BD7" w14:textId="77777777" w:rsidR="00B049CE" w:rsidRPr="00B049CE" w:rsidRDefault="00B049CE" w:rsidP="00B049CE">
            <w:pPr>
              <w:spacing w:after="0" w:line="240" w:lineRule="auto"/>
              <w:rPr>
                <w:rFonts w:eastAsia="Times New Roman" w:cstheme="minorHAnsi"/>
                <w:sz w:val="24"/>
                <w:szCs w:val="24"/>
                <w:lang w:val="de-CH"/>
              </w:rPr>
            </w:pPr>
            <w:r w:rsidRPr="00B049CE">
              <w:rPr>
                <w:rFonts w:ascii="Calibri" w:eastAsia="Times New Roman" w:hAnsi="Calibri" w:cs="Calibri"/>
              </w:rPr>
              <w:t xml:space="preserve">For reference, due to environmental legislation and energy consumption consideration, -40oC freezers are being promoted over -80oC freezing. </w:t>
            </w:r>
          </w:p>
        </w:tc>
        <w:tc>
          <w:tcPr>
            <w:tcW w:w="6456" w:type="dxa"/>
            <w:shd w:val="clear" w:color="auto" w:fill="auto"/>
          </w:tcPr>
          <w:p w14:paraId="03DCC0FF" w14:textId="77777777" w:rsidR="00B049CE" w:rsidRPr="00B049CE" w:rsidRDefault="00B049CE" w:rsidP="00B049CE">
            <w:pPr>
              <w:spacing w:after="0" w:line="240" w:lineRule="auto"/>
              <w:rPr>
                <w:rFonts w:eastAsia="Times New Roman" w:cstheme="minorHAnsi"/>
                <w:lang w:val="de-CH"/>
              </w:rPr>
            </w:pPr>
            <w:r w:rsidRPr="00B049CE">
              <w:rPr>
                <w:rFonts w:eastAsia="Times New Roman" w:cstheme="minorHAnsi"/>
                <w:lang w:val="de-CH"/>
              </w:rPr>
              <w:t xml:space="preserve">Thank you for your comment. We didcussed the freezer temperature in the full text and and we have a research recommendation on this topic. </w:t>
            </w:r>
          </w:p>
        </w:tc>
      </w:tr>
    </w:tbl>
    <w:p w14:paraId="674417E6" w14:textId="77777777" w:rsidR="00B049CE" w:rsidRDefault="00B049CE" w:rsidP="00B049CE"/>
    <w:p w14:paraId="45E0766B" w14:textId="77777777" w:rsidR="00C06DF2" w:rsidRDefault="00C06DF2">
      <w:pPr>
        <w:rPr>
          <w:rFonts w:asciiTheme="majorHAnsi" w:eastAsiaTheme="majorEastAsia" w:hAnsiTheme="majorHAnsi" w:cstheme="majorBidi"/>
          <w:color w:val="1F3763" w:themeColor="accent1" w:themeShade="7F"/>
          <w:sz w:val="24"/>
          <w:szCs w:val="24"/>
        </w:rPr>
      </w:pPr>
      <w:r>
        <w:br w:type="page"/>
      </w:r>
    </w:p>
    <w:p w14:paraId="2C33EF0D" w14:textId="38057EDB" w:rsidR="00B049CE" w:rsidRDefault="00B049CE" w:rsidP="00B049CE">
      <w:pPr>
        <w:pStyle w:val="Heading3"/>
      </w:pPr>
      <w:r>
        <w:lastRenderedPageBreak/>
        <w:t>External consultation</w:t>
      </w:r>
    </w:p>
    <w:p w14:paraId="5773F243" w14:textId="30FCD4FB" w:rsidR="00B049CE" w:rsidRDefault="00B049CE" w:rsidP="005D387E">
      <w:r w:rsidRPr="00C06DF2">
        <w:rPr>
          <w:highlight w:val="yellow"/>
        </w:rPr>
        <w:t>TBC</w:t>
      </w:r>
    </w:p>
    <w:p w14:paraId="42EA12E1" w14:textId="77777777" w:rsidR="005D387E" w:rsidRDefault="005D387E">
      <w:pPr>
        <w:rPr>
          <w:rFonts w:asciiTheme="majorHAnsi" w:eastAsiaTheme="majorEastAsia" w:hAnsiTheme="majorHAnsi" w:cstheme="majorBidi"/>
          <w:color w:val="2F5496" w:themeColor="accent1" w:themeShade="BF"/>
          <w:sz w:val="26"/>
          <w:szCs w:val="26"/>
        </w:rPr>
      </w:pPr>
      <w:r>
        <w:br w:type="page"/>
      </w:r>
    </w:p>
    <w:p w14:paraId="4F2BBF10" w14:textId="77777777" w:rsidR="00C06DF2" w:rsidRDefault="00C06DF2" w:rsidP="006F36D6">
      <w:pPr>
        <w:pStyle w:val="Heading2"/>
        <w:sectPr w:rsidR="00C06DF2" w:rsidSect="00B049CE">
          <w:pgSz w:w="16838" w:h="11906" w:orient="landscape"/>
          <w:pgMar w:top="1440" w:right="1440" w:bottom="1440" w:left="1440" w:header="709" w:footer="709" w:gutter="0"/>
          <w:cols w:space="708"/>
          <w:docGrid w:linePitch="360"/>
        </w:sectPr>
      </w:pPr>
    </w:p>
    <w:p w14:paraId="763870B5" w14:textId="54D97BDF" w:rsidR="006F36D6" w:rsidRDefault="00972F9D" w:rsidP="006F36D6">
      <w:pPr>
        <w:pStyle w:val="Heading2"/>
      </w:pPr>
      <w:r>
        <w:lastRenderedPageBreak/>
        <w:t>E</w:t>
      </w:r>
      <w:r w:rsidR="006F36D6">
        <w:t xml:space="preserve">: </w:t>
      </w:r>
      <w:r w:rsidR="006F36D6" w:rsidRPr="00A218DF">
        <w:t>Continuing Professional Development</w:t>
      </w:r>
    </w:p>
    <w:p w14:paraId="6D725DEE" w14:textId="77777777" w:rsidR="006F36D6" w:rsidRDefault="006F36D6" w:rsidP="006F36D6"/>
    <w:p w14:paraId="71A4B0BC" w14:textId="48D09139" w:rsidR="00852021" w:rsidRDefault="003B1996" w:rsidP="003B1996">
      <w:pPr>
        <w:pStyle w:val="ListParagraph"/>
        <w:numPr>
          <w:ilvl w:val="0"/>
          <w:numId w:val="7"/>
        </w:numPr>
        <w:spacing w:after="0" w:line="240" w:lineRule="auto"/>
      </w:pPr>
      <w:r>
        <w:t>When should treatment of CDI with FMT be considered?</w:t>
      </w:r>
    </w:p>
    <w:p w14:paraId="6B070423" w14:textId="3587C881" w:rsidR="003B1996" w:rsidRDefault="003B1996" w:rsidP="003B1996">
      <w:pPr>
        <w:pStyle w:val="ListParagraph"/>
        <w:numPr>
          <w:ilvl w:val="1"/>
          <w:numId w:val="7"/>
        </w:numPr>
        <w:spacing w:after="0" w:line="240" w:lineRule="auto"/>
      </w:pPr>
      <w:r>
        <w:t>When a patient is diagnosed with CDI and has risk factors for recurrence</w:t>
      </w:r>
    </w:p>
    <w:p w14:paraId="3A1BB819" w14:textId="593085BF" w:rsidR="003B1996" w:rsidRDefault="003B1996" w:rsidP="003B1996">
      <w:pPr>
        <w:pStyle w:val="ListParagraph"/>
        <w:numPr>
          <w:ilvl w:val="1"/>
          <w:numId w:val="7"/>
        </w:numPr>
        <w:spacing w:after="0" w:line="240" w:lineRule="auto"/>
      </w:pPr>
      <w:r>
        <w:t>After first recurrence</w:t>
      </w:r>
    </w:p>
    <w:p w14:paraId="4987F380" w14:textId="4B91F974" w:rsidR="003B1996" w:rsidRDefault="003B1996" w:rsidP="003B1996">
      <w:pPr>
        <w:pStyle w:val="ListParagraph"/>
        <w:numPr>
          <w:ilvl w:val="1"/>
          <w:numId w:val="7"/>
        </w:numPr>
        <w:spacing w:after="0" w:line="240" w:lineRule="auto"/>
      </w:pPr>
      <w:r>
        <w:t>After two or more CDI recurrences.</w:t>
      </w:r>
    </w:p>
    <w:p w14:paraId="4958C5E2" w14:textId="3523C7B8" w:rsidR="003B1996" w:rsidRDefault="003B1996" w:rsidP="003B1996">
      <w:pPr>
        <w:pStyle w:val="ListParagraph"/>
        <w:numPr>
          <w:ilvl w:val="1"/>
          <w:numId w:val="7"/>
        </w:numPr>
        <w:spacing w:after="0" w:line="240" w:lineRule="auto"/>
      </w:pPr>
      <w:r>
        <w:t>After first recurrence of refractory CDI</w:t>
      </w:r>
    </w:p>
    <w:p w14:paraId="5D37141B" w14:textId="38B1A2EE" w:rsidR="003B1996" w:rsidRDefault="003B1996" w:rsidP="003B1996">
      <w:pPr>
        <w:pStyle w:val="ListParagraph"/>
        <w:numPr>
          <w:ilvl w:val="1"/>
          <w:numId w:val="7"/>
        </w:numPr>
        <w:spacing w:after="0" w:line="240" w:lineRule="auto"/>
      </w:pPr>
      <w:r>
        <w:t>FMT can be offered to any patient with FMT.</w:t>
      </w:r>
    </w:p>
    <w:p w14:paraId="3E2C9403" w14:textId="413B4FC1" w:rsidR="003B1996" w:rsidRDefault="003B1996" w:rsidP="003B1996">
      <w:pPr>
        <w:pStyle w:val="ListParagraph"/>
        <w:numPr>
          <w:ilvl w:val="0"/>
          <w:numId w:val="7"/>
        </w:numPr>
        <w:spacing w:after="0" w:line="240" w:lineRule="auto"/>
      </w:pPr>
      <w:r>
        <w:t>Why should cancer patients not receive FMT for treatment of CDI?</w:t>
      </w:r>
    </w:p>
    <w:p w14:paraId="4F370CA8" w14:textId="11C44A13" w:rsidR="003B1996" w:rsidRDefault="003B1996" w:rsidP="003B1996">
      <w:pPr>
        <w:pStyle w:val="ListParagraph"/>
        <w:numPr>
          <w:ilvl w:val="1"/>
          <w:numId w:val="7"/>
        </w:numPr>
        <w:spacing w:after="0" w:line="240" w:lineRule="auto"/>
      </w:pPr>
      <w:r>
        <w:t xml:space="preserve">FMT is not effective in this group of </w:t>
      </w:r>
      <w:proofErr w:type="gramStart"/>
      <w:r>
        <w:t>patients</w:t>
      </w:r>
      <w:proofErr w:type="gramEnd"/>
    </w:p>
    <w:p w14:paraId="0DED7382" w14:textId="325A6490" w:rsidR="003B1996" w:rsidRDefault="003B1996" w:rsidP="003B1996">
      <w:pPr>
        <w:pStyle w:val="ListParagraph"/>
        <w:numPr>
          <w:ilvl w:val="1"/>
          <w:numId w:val="7"/>
        </w:numPr>
        <w:spacing w:after="0" w:line="240" w:lineRule="auto"/>
      </w:pPr>
      <w:r>
        <w:t xml:space="preserve">They are at high risk of experiencing severe adverse </w:t>
      </w:r>
      <w:proofErr w:type="gramStart"/>
      <w:r>
        <w:t>events</w:t>
      </w:r>
      <w:proofErr w:type="gramEnd"/>
    </w:p>
    <w:p w14:paraId="6974F9F9" w14:textId="50D0C1DA" w:rsidR="003B1996" w:rsidRDefault="003B1996" w:rsidP="003B1996">
      <w:pPr>
        <w:pStyle w:val="ListParagraph"/>
        <w:numPr>
          <w:ilvl w:val="1"/>
          <w:numId w:val="7"/>
        </w:numPr>
        <w:spacing w:after="0" w:line="240" w:lineRule="auto"/>
      </w:pPr>
      <w:r>
        <w:t xml:space="preserve">They can receive treatment but only after cancer treatment has </w:t>
      </w:r>
      <w:proofErr w:type="gramStart"/>
      <w:r>
        <w:t>ended</w:t>
      </w:r>
      <w:proofErr w:type="gramEnd"/>
    </w:p>
    <w:p w14:paraId="47A6A4B1" w14:textId="73A9A45B" w:rsidR="003B1996" w:rsidRDefault="003B1996" w:rsidP="003B1996">
      <w:pPr>
        <w:pStyle w:val="ListParagraph"/>
        <w:numPr>
          <w:ilvl w:val="1"/>
          <w:numId w:val="7"/>
        </w:numPr>
        <w:spacing w:after="0" w:line="240" w:lineRule="auto"/>
      </w:pPr>
      <w:r>
        <w:t xml:space="preserve">Cancer patients cannot be transported to facilities where FMT is </w:t>
      </w:r>
      <w:proofErr w:type="gramStart"/>
      <w:r>
        <w:t>given</w:t>
      </w:r>
      <w:proofErr w:type="gramEnd"/>
    </w:p>
    <w:p w14:paraId="5F08EEF8" w14:textId="4EE33DA0" w:rsidR="003B1996" w:rsidRDefault="003B1996" w:rsidP="003B1996">
      <w:pPr>
        <w:pStyle w:val="ListParagraph"/>
        <w:numPr>
          <w:ilvl w:val="1"/>
          <w:numId w:val="7"/>
        </w:numPr>
        <w:spacing w:after="0" w:line="240" w:lineRule="auto"/>
      </w:pPr>
      <w:r>
        <w:t xml:space="preserve">There is no reason to suggest that cancer patients cannot receive </w:t>
      </w:r>
      <w:proofErr w:type="gramStart"/>
      <w:r>
        <w:t>FMT</w:t>
      </w:r>
      <w:proofErr w:type="gramEnd"/>
    </w:p>
    <w:p w14:paraId="51CC4AD6" w14:textId="0227601D" w:rsidR="003B1996" w:rsidRDefault="003B1996" w:rsidP="003B1996">
      <w:pPr>
        <w:pStyle w:val="ListParagraph"/>
        <w:numPr>
          <w:ilvl w:val="0"/>
          <w:numId w:val="7"/>
        </w:numPr>
        <w:spacing w:after="0" w:line="240" w:lineRule="auto"/>
      </w:pPr>
      <w:r>
        <w:t>Which route of FMT administration is less likely to be successful for treatment of CDI?</w:t>
      </w:r>
    </w:p>
    <w:p w14:paraId="255FCA5C" w14:textId="7EC003EE" w:rsidR="003B1996" w:rsidRDefault="003B1996" w:rsidP="003B1996">
      <w:pPr>
        <w:pStyle w:val="ListParagraph"/>
        <w:numPr>
          <w:ilvl w:val="1"/>
          <w:numId w:val="7"/>
        </w:numPr>
        <w:spacing w:after="0" w:line="240" w:lineRule="auto"/>
      </w:pPr>
      <w:r>
        <w:t>Colonoscopy</w:t>
      </w:r>
    </w:p>
    <w:p w14:paraId="66E3045C" w14:textId="137A74DE" w:rsidR="003B1996" w:rsidRDefault="003B1996" w:rsidP="003B1996">
      <w:pPr>
        <w:pStyle w:val="ListParagraph"/>
        <w:numPr>
          <w:ilvl w:val="1"/>
          <w:numId w:val="7"/>
        </w:numPr>
        <w:spacing w:after="0" w:line="240" w:lineRule="auto"/>
      </w:pPr>
      <w:r>
        <w:t>Enema.</w:t>
      </w:r>
    </w:p>
    <w:p w14:paraId="2E2B2E91" w14:textId="6289BD50" w:rsidR="003B1996" w:rsidRDefault="003B1996" w:rsidP="003B1996">
      <w:pPr>
        <w:pStyle w:val="ListParagraph"/>
        <w:numPr>
          <w:ilvl w:val="1"/>
          <w:numId w:val="7"/>
        </w:numPr>
        <w:spacing w:after="0" w:line="240" w:lineRule="auto"/>
      </w:pPr>
      <w:r>
        <w:t>Upper GI to stomach</w:t>
      </w:r>
    </w:p>
    <w:p w14:paraId="49A62ECB" w14:textId="6FB7356E" w:rsidR="003B1996" w:rsidRDefault="003B1996" w:rsidP="003B1996">
      <w:pPr>
        <w:pStyle w:val="ListParagraph"/>
        <w:numPr>
          <w:ilvl w:val="1"/>
          <w:numId w:val="7"/>
        </w:numPr>
        <w:spacing w:after="0" w:line="240" w:lineRule="auto"/>
      </w:pPr>
      <w:r>
        <w:t>Upper GI to duodenum</w:t>
      </w:r>
    </w:p>
    <w:p w14:paraId="075DEB7B" w14:textId="65845C93" w:rsidR="003B1996" w:rsidRDefault="003B1996" w:rsidP="003B1996">
      <w:pPr>
        <w:pStyle w:val="ListParagraph"/>
        <w:numPr>
          <w:ilvl w:val="1"/>
          <w:numId w:val="7"/>
        </w:numPr>
        <w:spacing w:after="0" w:line="240" w:lineRule="auto"/>
      </w:pPr>
      <w:r>
        <w:t xml:space="preserve">Oral capsules. </w:t>
      </w:r>
    </w:p>
    <w:p w14:paraId="391F76F8" w14:textId="5D033D32" w:rsidR="003B1996" w:rsidRDefault="003B1996" w:rsidP="003B1996">
      <w:pPr>
        <w:pStyle w:val="ListParagraph"/>
        <w:numPr>
          <w:ilvl w:val="0"/>
          <w:numId w:val="7"/>
        </w:numPr>
        <w:spacing w:after="0" w:line="240" w:lineRule="auto"/>
      </w:pPr>
      <w:r>
        <w:t>Which donor factors make FMT less effective for treatment of CDI?</w:t>
      </w:r>
    </w:p>
    <w:p w14:paraId="0723E529" w14:textId="751FD618" w:rsidR="003B1996" w:rsidRDefault="003B1996" w:rsidP="003B1996">
      <w:pPr>
        <w:pStyle w:val="ListParagraph"/>
        <w:numPr>
          <w:ilvl w:val="1"/>
          <w:numId w:val="7"/>
        </w:numPr>
        <w:spacing w:after="0" w:line="240" w:lineRule="auto"/>
      </w:pPr>
      <w:r>
        <w:t>Age.</w:t>
      </w:r>
    </w:p>
    <w:p w14:paraId="071AF9F0" w14:textId="7CB96727" w:rsidR="003B1996" w:rsidRDefault="003B1996" w:rsidP="003B1996">
      <w:pPr>
        <w:pStyle w:val="ListParagraph"/>
        <w:numPr>
          <w:ilvl w:val="1"/>
          <w:numId w:val="7"/>
        </w:numPr>
        <w:spacing w:after="0" w:line="240" w:lineRule="auto"/>
      </w:pPr>
      <w:r>
        <w:t>Mismatched sex</w:t>
      </w:r>
    </w:p>
    <w:p w14:paraId="30F32DD3" w14:textId="240BDDB8" w:rsidR="003B1996" w:rsidRDefault="003B1996" w:rsidP="003B1996">
      <w:pPr>
        <w:pStyle w:val="ListParagraph"/>
        <w:numPr>
          <w:ilvl w:val="1"/>
          <w:numId w:val="7"/>
        </w:numPr>
        <w:spacing w:after="0" w:line="240" w:lineRule="auto"/>
      </w:pPr>
      <w:r>
        <w:t>Microbiota composition</w:t>
      </w:r>
    </w:p>
    <w:p w14:paraId="7C31D5FC" w14:textId="2DBB12CC" w:rsidR="003B1996" w:rsidRDefault="003B1996" w:rsidP="003B1996">
      <w:pPr>
        <w:pStyle w:val="ListParagraph"/>
        <w:numPr>
          <w:ilvl w:val="1"/>
          <w:numId w:val="7"/>
        </w:numPr>
        <w:spacing w:after="0" w:line="240" w:lineRule="auto"/>
      </w:pPr>
      <w:r>
        <w:t>Presence of MDRO</w:t>
      </w:r>
    </w:p>
    <w:p w14:paraId="1EEB18B0" w14:textId="6D82BD73" w:rsidR="003B1996" w:rsidRDefault="003B1996" w:rsidP="003B1996">
      <w:pPr>
        <w:pStyle w:val="ListParagraph"/>
        <w:numPr>
          <w:ilvl w:val="1"/>
          <w:numId w:val="7"/>
        </w:numPr>
        <w:spacing w:after="0" w:line="240" w:lineRule="auto"/>
      </w:pPr>
      <w:r>
        <w:t xml:space="preserve">None of the above </w:t>
      </w:r>
    </w:p>
    <w:p w14:paraId="3C1EE065" w14:textId="6422896D" w:rsidR="003B1996" w:rsidRDefault="003B1996" w:rsidP="003B1996">
      <w:pPr>
        <w:pStyle w:val="ListParagraph"/>
        <w:numPr>
          <w:ilvl w:val="0"/>
          <w:numId w:val="7"/>
        </w:numPr>
        <w:spacing w:after="0" w:line="240" w:lineRule="auto"/>
      </w:pPr>
      <w:r>
        <w:t>For which conditions, other than CDI, FMT may be considered?</w:t>
      </w:r>
    </w:p>
    <w:p w14:paraId="07934EF9" w14:textId="652334AC" w:rsidR="003B1996" w:rsidRDefault="003B1996" w:rsidP="003B1996">
      <w:pPr>
        <w:pStyle w:val="ListParagraph"/>
        <w:numPr>
          <w:ilvl w:val="1"/>
          <w:numId w:val="7"/>
        </w:numPr>
        <w:spacing w:after="0" w:line="240" w:lineRule="auto"/>
      </w:pPr>
      <w:r>
        <w:t>Ulcerative colitis</w:t>
      </w:r>
    </w:p>
    <w:p w14:paraId="3949567D" w14:textId="068AF9FB" w:rsidR="003B1996" w:rsidRDefault="003B1996" w:rsidP="003B1996">
      <w:pPr>
        <w:pStyle w:val="ListParagraph"/>
        <w:numPr>
          <w:ilvl w:val="1"/>
          <w:numId w:val="7"/>
        </w:numPr>
        <w:spacing w:after="0" w:line="240" w:lineRule="auto"/>
      </w:pPr>
      <w:r>
        <w:t>Crohn’s disease</w:t>
      </w:r>
    </w:p>
    <w:p w14:paraId="4D87BD72" w14:textId="54F5C549" w:rsidR="003B1996" w:rsidRDefault="003B1996" w:rsidP="003B1996">
      <w:pPr>
        <w:pStyle w:val="ListParagraph"/>
        <w:numPr>
          <w:ilvl w:val="1"/>
          <w:numId w:val="7"/>
        </w:numPr>
        <w:spacing w:after="0" w:line="240" w:lineRule="auto"/>
      </w:pPr>
      <w:r>
        <w:t>IBS</w:t>
      </w:r>
    </w:p>
    <w:p w14:paraId="6B7B958E" w14:textId="772B290E" w:rsidR="003B1996" w:rsidRDefault="003B1996" w:rsidP="003B1996">
      <w:pPr>
        <w:pStyle w:val="ListParagraph"/>
        <w:numPr>
          <w:ilvl w:val="1"/>
          <w:numId w:val="7"/>
        </w:numPr>
        <w:spacing w:after="0" w:line="240" w:lineRule="auto"/>
      </w:pPr>
      <w:r>
        <w:t>MDRO</w:t>
      </w:r>
    </w:p>
    <w:p w14:paraId="7F254BF0" w14:textId="606FB56A" w:rsidR="003B1996" w:rsidRDefault="003B1996" w:rsidP="003B1996">
      <w:pPr>
        <w:pStyle w:val="ListParagraph"/>
        <w:numPr>
          <w:ilvl w:val="1"/>
          <w:numId w:val="7"/>
        </w:numPr>
        <w:spacing w:after="0" w:line="240" w:lineRule="auto"/>
      </w:pPr>
      <w:r>
        <w:t xml:space="preserve">Obesity </w:t>
      </w:r>
    </w:p>
    <w:p w14:paraId="37B264A8" w14:textId="77777777" w:rsidR="003B1996" w:rsidRDefault="003B1996" w:rsidP="003B1996">
      <w:pPr>
        <w:pStyle w:val="ListParagraph"/>
        <w:spacing w:after="0" w:line="240" w:lineRule="auto"/>
        <w:ind w:left="1440"/>
      </w:pPr>
    </w:p>
    <w:p w14:paraId="5D76BE6A" w14:textId="77777777" w:rsidR="003B1996" w:rsidRDefault="003B1996" w:rsidP="003B1996">
      <w:pPr>
        <w:pStyle w:val="ListParagraph"/>
        <w:spacing w:after="0" w:line="240" w:lineRule="auto"/>
        <w:ind w:left="1440"/>
      </w:pPr>
    </w:p>
    <w:p w14:paraId="10F02EEB" w14:textId="77777777" w:rsidR="003B1996" w:rsidRDefault="003B1996" w:rsidP="00F44119">
      <w:pPr>
        <w:spacing w:after="0" w:line="240" w:lineRule="auto"/>
      </w:pPr>
    </w:p>
    <w:p w14:paraId="6E48C35E" w14:textId="4EC6EB4B" w:rsidR="006F36D6" w:rsidRDefault="006F36D6" w:rsidP="00852021">
      <w:pPr>
        <w:pStyle w:val="Heading2"/>
      </w:pPr>
      <w:r>
        <w:br w:type="page"/>
      </w:r>
      <w:r w:rsidR="00972F9D">
        <w:lastRenderedPageBreak/>
        <w:t>F</w:t>
      </w:r>
      <w:r>
        <w:t>: Lay materials</w:t>
      </w:r>
    </w:p>
    <w:p w14:paraId="456504DB" w14:textId="36317B70" w:rsidR="006F36D6" w:rsidRDefault="006F36D6" w:rsidP="006F36D6"/>
    <w:p w14:paraId="344F6F13" w14:textId="5C842F95" w:rsidR="00473AEC" w:rsidRDefault="00C81346" w:rsidP="00473AEC">
      <w:r>
        <w:t xml:space="preserve">Please follow the link below for useful information on FMT: </w:t>
      </w:r>
    </w:p>
    <w:p w14:paraId="7902A581" w14:textId="62B83DFD" w:rsidR="00A76970" w:rsidRPr="00A76970" w:rsidRDefault="00560976" w:rsidP="00A76970">
      <w:pPr>
        <w:overflowPunct w:val="0"/>
        <w:autoSpaceDE w:val="0"/>
        <w:autoSpaceDN w:val="0"/>
        <w:spacing w:before="8"/>
        <w:ind w:left="39"/>
        <w:rPr>
          <w:rFonts w:ascii="Times New Roman" w:hAnsi="Times New Roman" w:cs="Times New Roman"/>
          <w:sz w:val="24"/>
          <w:szCs w:val="24"/>
        </w:rPr>
      </w:pPr>
      <w:hyperlink r:id="rId13" w:history="1">
        <w:r w:rsidR="00A76970">
          <w:rPr>
            <w:rStyle w:val="Hyperlink"/>
            <w:rFonts w:ascii="Arial" w:hAnsi="Arial" w:cs="Arial"/>
            <w:b/>
            <w:bCs/>
            <w:color w:val="BBCF00"/>
            <w:sz w:val="27"/>
            <w:szCs w:val="27"/>
          </w:rPr>
          <w:t>FAECAL MICROBIOTA TRANSPLANTATION</w:t>
        </w:r>
      </w:hyperlink>
    </w:p>
    <w:p w14:paraId="3B7FA234" w14:textId="6DF9D47C" w:rsidR="00A76970" w:rsidRPr="00A76970" w:rsidRDefault="00A76970" w:rsidP="00A76970">
      <w:pPr>
        <w:overflowPunct w:val="0"/>
        <w:autoSpaceDE w:val="0"/>
        <w:autoSpaceDN w:val="0"/>
        <w:ind w:left="39"/>
        <w:rPr>
          <w:color w:val="455279"/>
        </w:rPr>
      </w:pPr>
      <w:r w:rsidRPr="00A76970">
        <w:rPr>
          <w:rFonts w:ascii="Arial" w:hAnsi="Arial" w:cs="Arial"/>
          <w:b/>
          <w:bCs/>
          <w:color w:val="455279"/>
          <w:sz w:val="27"/>
          <w:szCs w:val="27"/>
        </w:rPr>
        <w:t>gutscharity.org.uk/info/FMT</w:t>
      </w:r>
    </w:p>
    <w:p w14:paraId="590FCDB5" w14:textId="057ED68F" w:rsidR="00C81346" w:rsidRDefault="00C81346" w:rsidP="00473AEC">
      <w:r>
        <w:t xml:space="preserve"> </w:t>
      </w:r>
    </w:p>
    <w:p w14:paraId="3A1E00B6" w14:textId="77777777" w:rsidR="006F36D6" w:rsidRDefault="006F36D6" w:rsidP="006F36D6"/>
    <w:p w14:paraId="48C3983F" w14:textId="0327EB21" w:rsidR="006F36D6" w:rsidRDefault="006F36D6"/>
    <w:p w14:paraId="549F1AE4" w14:textId="77777777" w:rsidR="006F36D6" w:rsidRDefault="006F36D6"/>
    <w:p w14:paraId="50DA60E3" w14:textId="1A08FA3D" w:rsidR="006F36D6" w:rsidRDefault="006F36D6"/>
    <w:sectPr w:rsidR="006F36D6" w:rsidSect="00C06DF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3BE5" w14:textId="77777777" w:rsidR="00C83E1B" w:rsidRDefault="00C83E1B" w:rsidP="00C83E1B">
      <w:pPr>
        <w:spacing w:after="0" w:line="240" w:lineRule="auto"/>
      </w:pPr>
      <w:r>
        <w:separator/>
      </w:r>
    </w:p>
  </w:endnote>
  <w:endnote w:type="continuationSeparator" w:id="0">
    <w:p w14:paraId="6536BA91" w14:textId="77777777" w:rsidR="00C83E1B" w:rsidRDefault="00C83E1B" w:rsidP="00C8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CEE6" w14:textId="3103FD37" w:rsidR="00BD0C9C" w:rsidRDefault="00972F9D">
    <w:pPr>
      <w:pStyle w:val="Footer"/>
    </w:pPr>
    <w:r>
      <w:t>FMT</w:t>
    </w:r>
    <w:r w:rsidR="00BD0C9C">
      <w:t xml:space="preserve"> supplementary materials</w:t>
    </w:r>
  </w:p>
  <w:p w14:paraId="5232E487" w14:textId="77777777" w:rsidR="00C83E1B" w:rsidRDefault="00C8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C31D" w14:textId="77777777" w:rsidR="00C83E1B" w:rsidRDefault="00C83E1B" w:rsidP="00C83E1B">
      <w:pPr>
        <w:spacing w:after="0" w:line="240" w:lineRule="auto"/>
      </w:pPr>
      <w:r>
        <w:separator/>
      </w:r>
    </w:p>
  </w:footnote>
  <w:footnote w:type="continuationSeparator" w:id="0">
    <w:p w14:paraId="7E7DF815" w14:textId="77777777" w:rsidR="00C83E1B" w:rsidRDefault="00C83E1B" w:rsidP="00C8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62998"/>
      <w:docPartObj>
        <w:docPartGallery w:val="Watermarks"/>
        <w:docPartUnique/>
      </w:docPartObj>
    </w:sdtPr>
    <w:sdtEndPr/>
    <w:sdtContent>
      <w:p w14:paraId="28F76FF1" w14:textId="34E7A481" w:rsidR="00C83E1B" w:rsidRDefault="00560976">
        <w:pPr>
          <w:pStyle w:val="Header"/>
        </w:pPr>
        <w:r>
          <w:rPr>
            <w:noProof/>
          </w:rPr>
          <w:pict w14:anchorId="35C61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3FB"/>
    <w:multiLevelType w:val="multilevel"/>
    <w:tmpl w:val="9FFC2064"/>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001505"/>
    <w:multiLevelType w:val="hybridMultilevel"/>
    <w:tmpl w:val="38F0B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4B762E"/>
    <w:multiLevelType w:val="multilevel"/>
    <w:tmpl w:val="EAD0E554"/>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1B79FE"/>
    <w:multiLevelType w:val="hybridMultilevel"/>
    <w:tmpl w:val="E9225D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6573B"/>
    <w:multiLevelType w:val="hybridMultilevel"/>
    <w:tmpl w:val="07FE1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575372"/>
    <w:multiLevelType w:val="multilevel"/>
    <w:tmpl w:val="5976654E"/>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9852E1"/>
    <w:multiLevelType w:val="multilevel"/>
    <w:tmpl w:val="EF0E8836"/>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0762643">
    <w:abstractNumId w:val="3"/>
  </w:num>
  <w:num w:numId="2" w16cid:durableId="728572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732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926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009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1017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698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DF"/>
    <w:rsid w:val="00032AF3"/>
    <w:rsid w:val="000F42E1"/>
    <w:rsid w:val="00265DA8"/>
    <w:rsid w:val="003B02B3"/>
    <w:rsid w:val="003B1996"/>
    <w:rsid w:val="003E754A"/>
    <w:rsid w:val="003F5473"/>
    <w:rsid w:val="00473AEC"/>
    <w:rsid w:val="00510435"/>
    <w:rsid w:val="00560976"/>
    <w:rsid w:val="005A4509"/>
    <w:rsid w:val="005C7365"/>
    <w:rsid w:val="005D387E"/>
    <w:rsid w:val="006E36D7"/>
    <w:rsid w:val="006F1D09"/>
    <w:rsid w:val="006F36D6"/>
    <w:rsid w:val="00852021"/>
    <w:rsid w:val="00873DE9"/>
    <w:rsid w:val="00972F9D"/>
    <w:rsid w:val="009C1FB3"/>
    <w:rsid w:val="00A218DF"/>
    <w:rsid w:val="00A76970"/>
    <w:rsid w:val="00A8108B"/>
    <w:rsid w:val="00B049CE"/>
    <w:rsid w:val="00BD0C9C"/>
    <w:rsid w:val="00C06DF2"/>
    <w:rsid w:val="00C139F8"/>
    <w:rsid w:val="00C27429"/>
    <w:rsid w:val="00C51784"/>
    <w:rsid w:val="00C81346"/>
    <w:rsid w:val="00C83E1B"/>
    <w:rsid w:val="00EA613B"/>
    <w:rsid w:val="00EC6C47"/>
    <w:rsid w:val="00F44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FD0DEA"/>
  <w15:chartTrackingRefBased/>
  <w15:docId w15:val="{C602ED2B-B661-4BB5-B7F8-C714AE9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8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36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4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8D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F36D6"/>
    <w:pPr>
      <w:ind w:left="720"/>
      <w:contextualSpacing/>
    </w:pPr>
  </w:style>
  <w:style w:type="character" w:customStyle="1" w:styleId="Heading2Char">
    <w:name w:val="Heading 2 Char"/>
    <w:basedOn w:val="DefaultParagraphFont"/>
    <w:link w:val="Heading2"/>
    <w:uiPriority w:val="9"/>
    <w:rsid w:val="006F36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F42E1"/>
    <w:rPr>
      <w:color w:val="0563C1" w:themeColor="hyperlink"/>
      <w:u w:val="single"/>
    </w:rPr>
  </w:style>
  <w:style w:type="paragraph" w:styleId="Header">
    <w:name w:val="header"/>
    <w:basedOn w:val="Normal"/>
    <w:link w:val="HeaderChar"/>
    <w:uiPriority w:val="99"/>
    <w:unhideWhenUsed/>
    <w:rsid w:val="00C83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E1B"/>
  </w:style>
  <w:style w:type="paragraph" w:styleId="Footer">
    <w:name w:val="footer"/>
    <w:basedOn w:val="Normal"/>
    <w:link w:val="FooterChar"/>
    <w:uiPriority w:val="99"/>
    <w:unhideWhenUsed/>
    <w:rsid w:val="00C83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E1B"/>
  </w:style>
  <w:style w:type="character" w:styleId="UnresolvedMention">
    <w:name w:val="Unresolved Mention"/>
    <w:basedOn w:val="DefaultParagraphFont"/>
    <w:uiPriority w:val="99"/>
    <w:semiHidden/>
    <w:unhideWhenUsed/>
    <w:rsid w:val="00510435"/>
    <w:rPr>
      <w:color w:val="605E5C"/>
      <w:shd w:val="clear" w:color="auto" w:fill="E1DFDD"/>
    </w:rPr>
  </w:style>
  <w:style w:type="character" w:styleId="FollowedHyperlink">
    <w:name w:val="FollowedHyperlink"/>
    <w:basedOn w:val="DefaultParagraphFont"/>
    <w:uiPriority w:val="99"/>
    <w:semiHidden/>
    <w:unhideWhenUsed/>
    <w:rsid w:val="00510435"/>
    <w:rPr>
      <w:color w:val="954F72" w:themeColor="followedHyperlink"/>
      <w:u w:val="single"/>
    </w:rPr>
  </w:style>
  <w:style w:type="character" w:customStyle="1" w:styleId="Heading3Char">
    <w:name w:val="Heading 3 Char"/>
    <w:basedOn w:val="DefaultParagraphFont"/>
    <w:link w:val="Heading3"/>
    <w:uiPriority w:val="9"/>
    <w:rsid w:val="00B049C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5742">
      <w:bodyDiv w:val="1"/>
      <w:marLeft w:val="0"/>
      <w:marRight w:val="0"/>
      <w:marTop w:val="0"/>
      <w:marBottom w:val="0"/>
      <w:divBdr>
        <w:top w:val="none" w:sz="0" w:space="0" w:color="auto"/>
        <w:left w:val="none" w:sz="0" w:space="0" w:color="auto"/>
        <w:bottom w:val="none" w:sz="0" w:space="0" w:color="auto"/>
        <w:right w:val="none" w:sz="0" w:space="0" w:color="auto"/>
      </w:divBdr>
    </w:div>
    <w:div w:id="1195728867">
      <w:bodyDiv w:val="1"/>
      <w:marLeft w:val="0"/>
      <w:marRight w:val="0"/>
      <w:marTop w:val="0"/>
      <w:marBottom w:val="0"/>
      <w:divBdr>
        <w:top w:val="none" w:sz="0" w:space="0" w:color="auto"/>
        <w:left w:val="none" w:sz="0" w:space="0" w:color="auto"/>
        <w:bottom w:val="none" w:sz="0" w:space="0" w:color="auto"/>
        <w:right w:val="none" w:sz="0" w:space="0" w:color="auto"/>
      </w:divBdr>
    </w:div>
    <w:div w:id="1686635993">
      <w:bodyDiv w:val="1"/>
      <w:marLeft w:val="0"/>
      <w:marRight w:val="0"/>
      <w:marTop w:val="0"/>
      <w:marBottom w:val="0"/>
      <w:divBdr>
        <w:top w:val="none" w:sz="0" w:space="0" w:color="auto"/>
        <w:left w:val="none" w:sz="0" w:space="0" w:color="auto"/>
        <w:bottom w:val="none" w:sz="0" w:space="0" w:color="auto"/>
        <w:right w:val="none" w:sz="0" w:space="0" w:color="auto"/>
      </w:divBdr>
    </w:div>
    <w:div w:id="19322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utscharity.org.uk/advice-and-information/health-and-lifestyle/faecal-microbiota-transplantation-fmt/" TargetMode="External"/><Relationship Id="rId3" Type="http://schemas.openxmlformats.org/officeDocument/2006/relationships/settings" Target="settings.xml"/><Relationship Id="rId7" Type="http://schemas.openxmlformats.org/officeDocument/2006/relationships/hyperlink" Target="https://his.org.uk/resources-guidelines/faecal-microbiota-transpla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process/pmg20/chapter/introductio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14</Pages>
  <Words>2985</Words>
  <Characters>17019</Characters>
  <Application>Microsoft Office Word</Application>
  <DocSecurity>0</DocSecurity>
  <Lines>141</Lines>
  <Paragraphs>39</Paragraphs>
  <ScaleCrop>false</ScaleCrop>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Bak</dc:creator>
  <cp:keywords/>
  <dc:description/>
  <cp:lastModifiedBy>Aggie Bak</cp:lastModifiedBy>
  <cp:revision>36</cp:revision>
  <dcterms:created xsi:type="dcterms:W3CDTF">2021-05-19T15:11:00Z</dcterms:created>
  <dcterms:modified xsi:type="dcterms:W3CDTF">2023-11-15T11:31:00Z</dcterms:modified>
</cp:coreProperties>
</file>